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995" w:rsidRPr="00FC2D31" w:rsidRDefault="007B4995" w:rsidP="007763CF">
      <w:pPr>
        <w:spacing w:line="360" w:lineRule="auto"/>
        <w:rPr>
          <w:sz w:val="20"/>
          <w:szCs w:val="20"/>
        </w:rPr>
      </w:pPr>
      <w:bookmarkStart w:id="0" w:name="_GoBack"/>
      <w:bookmarkEnd w:id="0"/>
    </w:p>
    <w:p w:rsidR="007B4995" w:rsidRPr="00FC2D31" w:rsidRDefault="007B4995" w:rsidP="007763CF">
      <w:pPr>
        <w:spacing w:line="360" w:lineRule="auto"/>
        <w:rPr>
          <w:sz w:val="20"/>
          <w:szCs w:val="20"/>
        </w:rPr>
      </w:pPr>
    </w:p>
    <w:p w:rsidR="007B4995" w:rsidRPr="00FC2D31" w:rsidRDefault="007B4995" w:rsidP="007763CF">
      <w:pPr>
        <w:spacing w:line="360" w:lineRule="auto"/>
        <w:rPr>
          <w:sz w:val="20"/>
          <w:szCs w:val="20"/>
        </w:rPr>
      </w:pPr>
    </w:p>
    <w:p w:rsidR="007B4995" w:rsidRPr="00FC2D31" w:rsidRDefault="007B4995" w:rsidP="007763CF">
      <w:pPr>
        <w:spacing w:line="360" w:lineRule="auto"/>
        <w:rPr>
          <w:sz w:val="20"/>
          <w:szCs w:val="20"/>
        </w:rPr>
      </w:pPr>
    </w:p>
    <w:p w:rsidR="007B4995" w:rsidRPr="00FC2D31" w:rsidRDefault="007B4995" w:rsidP="007763CF">
      <w:pPr>
        <w:spacing w:line="360" w:lineRule="auto"/>
        <w:rPr>
          <w:sz w:val="20"/>
          <w:szCs w:val="20"/>
        </w:rPr>
      </w:pPr>
    </w:p>
    <w:p w:rsidR="007B4995" w:rsidRPr="00FC2D31" w:rsidRDefault="007B4995" w:rsidP="007763CF">
      <w:pPr>
        <w:spacing w:line="360" w:lineRule="auto"/>
        <w:rPr>
          <w:sz w:val="20"/>
          <w:szCs w:val="20"/>
        </w:rPr>
      </w:pPr>
    </w:p>
    <w:p w:rsidR="007B4995" w:rsidRPr="00FC2D31" w:rsidRDefault="007B4995" w:rsidP="007763CF">
      <w:pPr>
        <w:spacing w:line="360" w:lineRule="auto"/>
        <w:rPr>
          <w:sz w:val="20"/>
          <w:szCs w:val="20"/>
        </w:rPr>
      </w:pPr>
    </w:p>
    <w:p w:rsidR="007B4995" w:rsidRPr="00FC2D31" w:rsidRDefault="007B4995" w:rsidP="007763CF">
      <w:pPr>
        <w:spacing w:line="360" w:lineRule="auto"/>
        <w:rPr>
          <w:sz w:val="20"/>
          <w:szCs w:val="20"/>
        </w:rPr>
      </w:pPr>
    </w:p>
    <w:p w:rsidR="007B4995" w:rsidRPr="00FC2D31" w:rsidRDefault="007B4995" w:rsidP="007763CF">
      <w:pPr>
        <w:spacing w:before="6" w:line="360" w:lineRule="auto"/>
        <w:rPr>
          <w:sz w:val="20"/>
          <w:szCs w:val="20"/>
        </w:rPr>
      </w:pPr>
    </w:p>
    <w:p w:rsidR="007B4995" w:rsidRPr="00FC2D31" w:rsidRDefault="007B4995" w:rsidP="007763CF">
      <w:pPr>
        <w:spacing w:line="360" w:lineRule="auto"/>
        <w:ind w:left="1708"/>
        <w:rPr>
          <w:sz w:val="20"/>
          <w:szCs w:val="20"/>
        </w:rPr>
      </w:pPr>
      <w:r w:rsidRPr="00FC2D31">
        <w:rPr>
          <w:noProof/>
          <w:sz w:val="20"/>
          <w:szCs w:val="20"/>
        </w:rPr>
        <w:drawing>
          <wp:inline distT="0" distB="0" distL="0" distR="0">
            <wp:extent cx="4088765" cy="2052955"/>
            <wp:effectExtent l="1905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4088765" cy="2052955"/>
                    </a:xfrm>
                    <a:prstGeom prst="rect">
                      <a:avLst/>
                    </a:prstGeom>
                    <a:noFill/>
                    <a:ln w="9525">
                      <a:noFill/>
                      <a:miter lim="800000"/>
                      <a:headEnd/>
                      <a:tailEnd/>
                    </a:ln>
                  </pic:spPr>
                </pic:pic>
              </a:graphicData>
            </a:graphic>
          </wp:inline>
        </w:drawing>
      </w:r>
    </w:p>
    <w:p w:rsidR="007B4995" w:rsidRPr="00FC2D31" w:rsidRDefault="007B4995" w:rsidP="007763CF">
      <w:pPr>
        <w:spacing w:before="5" w:line="360" w:lineRule="auto"/>
        <w:rPr>
          <w:sz w:val="20"/>
          <w:szCs w:val="20"/>
        </w:rPr>
      </w:pPr>
    </w:p>
    <w:p w:rsidR="007B4995" w:rsidRPr="00FC2D31" w:rsidRDefault="007B4995" w:rsidP="007763CF">
      <w:pPr>
        <w:spacing w:line="360" w:lineRule="auto"/>
        <w:rPr>
          <w:sz w:val="20"/>
          <w:szCs w:val="20"/>
        </w:rPr>
      </w:pPr>
    </w:p>
    <w:p w:rsidR="007B4995" w:rsidRPr="00FC2D31" w:rsidRDefault="007B4995" w:rsidP="007763CF">
      <w:pPr>
        <w:spacing w:line="360" w:lineRule="auto"/>
        <w:rPr>
          <w:sz w:val="20"/>
          <w:szCs w:val="20"/>
        </w:rPr>
      </w:pPr>
    </w:p>
    <w:p w:rsidR="007B4995" w:rsidRPr="00FC2D31" w:rsidRDefault="007B4995" w:rsidP="007763CF">
      <w:pPr>
        <w:spacing w:line="360" w:lineRule="auto"/>
        <w:rPr>
          <w:sz w:val="20"/>
          <w:szCs w:val="20"/>
        </w:rPr>
      </w:pPr>
    </w:p>
    <w:p w:rsidR="007B4995" w:rsidRPr="00FC2D31" w:rsidRDefault="007B4995" w:rsidP="007763CF">
      <w:pPr>
        <w:spacing w:line="360" w:lineRule="auto"/>
        <w:rPr>
          <w:sz w:val="20"/>
          <w:szCs w:val="20"/>
        </w:rPr>
      </w:pPr>
    </w:p>
    <w:p w:rsidR="00AA4B19" w:rsidRPr="00FC2D31" w:rsidRDefault="007B4995" w:rsidP="007763CF">
      <w:pPr>
        <w:spacing w:before="44" w:line="360" w:lineRule="auto"/>
        <w:ind w:left="1077" w:right="1077" w:firstLine="96"/>
        <w:jc w:val="center"/>
        <w:rPr>
          <w:rFonts w:ascii="Calibri" w:eastAsia="Calibri" w:hAnsi="Calibri" w:cs="Calibri"/>
          <w:b/>
          <w:bCs/>
          <w:color w:val="000080"/>
          <w:sz w:val="20"/>
          <w:szCs w:val="20"/>
        </w:rPr>
      </w:pPr>
      <w:r w:rsidRPr="00FC2D31">
        <w:rPr>
          <w:rFonts w:ascii="Calibri" w:eastAsia="Calibri" w:hAnsi="Calibri" w:cs="Calibri"/>
          <w:b/>
          <w:bCs/>
          <w:color w:val="000080"/>
          <w:sz w:val="20"/>
          <w:szCs w:val="20"/>
        </w:rPr>
        <w:t>AIFA POSITION PAPER</w:t>
      </w:r>
    </w:p>
    <w:p w:rsidR="007B4995" w:rsidRPr="00FC2D31" w:rsidRDefault="007B4995" w:rsidP="007763CF">
      <w:pPr>
        <w:spacing w:before="44" w:line="360" w:lineRule="auto"/>
        <w:ind w:left="1077" w:right="1077" w:firstLine="96"/>
        <w:jc w:val="center"/>
        <w:rPr>
          <w:rFonts w:ascii="Calibri" w:eastAsia="Calibri" w:hAnsi="Calibri" w:cs="Calibri"/>
          <w:bCs/>
          <w:color w:val="000080"/>
          <w:sz w:val="20"/>
          <w:szCs w:val="20"/>
        </w:rPr>
      </w:pPr>
      <w:r w:rsidRPr="00FC2D31">
        <w:rPr>
          <w:rFonts w:ascii="Calibri" w:eastAsia="Calibri" w:hAnsi="Calibri" w:cs="Calibri"/>
          <w:b/>
          <w:bCs/>
          <w:color w:val="000080"/>
          <w:sz w:val="20"/>
          <w:szCs w:val="20"/>
        </w:rPr>
        <w:t>BIOSIMILAR MEDICINAL PRODUCTS</w:t>
      </w:r>
    </w:p>
    <w:p w:rsidR="007B4995" w:rsidRPr="00FC2D31" w:rsidRDefault="007B4995" w:rsidP="007763CF">
      <w:pPr>
        <w:spacing w:before="12" w:line="360" w:lineRule="auto"/>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7536"/>
        <w:gridCol w:w="2090"/>
      </w:tblGrid>
      <w:tr w:rsidR="007B4995" w:rsidRPr="00FC2D31" w:rsidTr="00481555">
        <w:trPr>
          <w:trHeight w:hRule="exact" w:val="449"/>
        </w:trPr>
        <w:tc>
          <w:tcPr>
            <w:tcW w:w="7536" w:type="dxa"/>
            <w:tcBorders>
              <w:top w:val="single" w:sz="5" w:space="0" w:color="000000"/>
              <w:left w:val="single" w:sz="5" w:space="0" w:color="000000"/>
              <w:bottom w:val="single" w:sz="5" w:space="0" w:color="000000"/>
              <w:right w:val="single" w:sz="5" w:space="0" w:color="000000"/>
            </w:tcBorders>
          </w:tcPr>
          <w:p w:rsidR="007B4995" w:rsidRPr="00FC2D31" w:rsidRDefault="007B4995" w:rsidP="007763CF">
            <w:pPr>
              <w:pStyle w:val="TableParagraph"/>
              <w:spacing w:line="360" w:lineRule="auto"/>
              <w:ind w:left="102"/>
              <w:rPr>
                <w:rFonts w:ascii="Calibri" w:eastAsia="Calibri" w:hAnsi="Calibri" w:cs="Calibri"/>
                <w:sz w:val="20"/>
                <w:szCs w:val="20"/>
              </w:rPr>
            </w:pPr>
            <w:r w:rsidRPr="00FC2D31">
              <w:rPr>
                <w:rFonts w:ascii="Calibri" w:eastAsia="Calibri" w:hAnsi="Calibri" w:cs="Calibri"/>
                <w:sz w:val="20"/>
                <w:szCs w:val="20"/>
              </w:rPr>
              <w:t>Preparation of draft paper</w:t>
            </w:r>
          </w:p>
        </w:tc>
        <w:tc>
          <w:tcPr>
            <w:tcW w:w="2090" w:type="dxa"/>
            <w:tcBorders>
              <w:top w:val="single" w:sz="5" w:space="0" w:color="000000"/>
              <w:left w:val="single" w:sz="5" w:space="0" w:color="000000"/>
              <w:bottom w:val="single" w:sz="5" w:space="0" w:color="000000"/>
              <w:right w:val="single" w:sz="5" w:space="0" w:color="000000"/>
            </w:tcBorders>
          </w:tcPr>
          <w:p w:rsidR="007B4995" w:rsidRPr="00FC2D31" w:rsidRDefault="007B4995" w:rsidP="007763CF">
            <w:pPr>
              <w:pStyle w:val="TableParagraph"/>
              <w:spacing w:line="360" w:lineRule="auto"/>
              <w:ind w:left="102"/>
              <w:rPr>
                <w:rFonts w:ascii="Calibri" w:eastAsia="Calibri" w:hAnsi="Calibri" w:cs="Calibri"/>
                <w:sz w:val="20"/>
                <w:szCs w:val="20"/>
              </w:rPr>
            </w:pPr>
            <w:r w:rsidRPr="00FC2D31">
              <w:rPr>
                <w:rFonts w:ascii="Calibri" w:eastAsia="Calibri" w:hAnsi="Calibri" w:cs="Calibri"/>
                <w:sz w:val="20"/>
                <w:szCs w:val="20"/>
              </w:rPr>
              <w:t>06.07.2012</w:t>
            </w:r>
          </w:p>
        </w:tc>
      </w:tr>
      <w:tr w:rsidR="007B4995" w:rsidRPr="00FC2D31" w:rsidTr="00481555">
        <w:trPr>
          <w:trHeight w:hRule="exact" w:val="449"/>
        </w:trPr>
        <w:tc>
          <w:tcPr>
            <w:tcW w:w="7536" w:type="dxa"/>
            <w:tcBorders>
              <w:top w:val="single" w:sz="5" w:space="0" w:color="000000"/>
              <w:left w:val="single" w:sz="5" w:space="0" w:color="000000"/>
              <w:bottom w:val="single" w:sz="5" w:space="0" w:color="000000"/>
              <w:right w:val="single" w:sz="5" w:space="0" w:color="000000"/>
            </w:tcBorders>
          </w:tcPr>
          <w:p w:rsidR="007B4995" w:rsidRPr="00FC2D31" w:rsidRDefault="007B4995" w:rsidP="007763CF">
            <w:pPr>
              <w:pStyle w:val="TableParagraph"/>
              <w:spacing w:line="360" w:lineRule="auto"/>
              <w:ind w:left="102"/>
              <w:rPr>
                <w:rFonts w:ascii="Calibri" w:eastAsia="Calibri" w:hAnsi="Calibri" w:cs="Calibri"/>
                <w:sz w:val="20"/>
                <w:szCs w:val="20"/>
              </w:rPr>
            </w:pPr>
            <w:r w:rsidRPr="00FC2D31">
              <w:rPr>
                <w:rFonts w:ascii="Calibri" w:eastAsia="Calibri" w:hAnsi="Calibri" w:cs="Calibri"/>
                <w:sz w:val="20"/>
                <w:szCs w:val="20"/>
              </w:rPr>
              <w:t>Presentation of draft and its release for public consultation</w:t>
            </w:r>
          </w:p>
        </w:tc>
        <w:tc>
          <w:tcPr>
            <w:tcW w:w="2090" w:type="dxa"/>
            <w:tcBorders>
              <w:top w:val="single" w:sz="5" w:space="0" w:color="000000"/>
              <w:left w:val="single" w:sz="5" w:space="0" w:color="000000"/>
              <w:bottom w:val="single" w:sz="5" w:space="0" w:color="000000"/>
              <w:right w:val="single" w:sz="5" w:space="0" w:color="000000"/>
            </w:tcBorders>
          </w:tcPr>
          <w:p w:rsidR="007B4995" w:rsidRPr="00FC2D31" w:rsidRDefault="007B4995" w:rsidP="007763CF">
            <w:pPr>
              <w:pStyle w:val="TableParagraph"/>
              <w:spacing w:line="360" w:lineRule="auto"/>
              <w:ind w:left="102"/>
              <w:rPr>
                <w:rFonts w:ascii="Calibri" w:eastAsia="Calibri" w:hAnsi="Calibri" w:cs="Calibri"/>
                <w:sz w:val="20"/>
                <w:szCs w:val="20"/>
              </w:rPr>
            </w:pPr>
            <w:r w:rsidRPr="00FC2D31">
              <w:rPr>
                <w:rFonts w:ascii="Calibri" w:eastAsia="Calibri" w:hAnsi="Calibri" w:cs="Calibri"/>
                <w:sz w:val="20"/>
                <w:szCs w:val="20"/>
              </w:rPr>
              <w:t>25.07.2012</w:t>
            </w:r>
          </w:p>
        </w:tc>
      </w:tr>
      <w:tr w:rsidR="007B4995" w:rsidRPr="00FC2D31" w:rsidTr="00481555">
        <w:trPr>
          <w:trHeight w:hRule="exact" w:val="449"/>
        </w:trPr>
        <w:tc>
          <w:tcPr>
            <w:tcW w:w="7536" w:type="dxa"/>
            <w:tcBorders>
              <w:top w:val="single" w:sz="5" w:space="0" w:color="000000"/>
              <w:left w:val="single" w:sz="5" w:space="0" w:color="000000"/>
              <w:bottom w:val="single" w:sz="5" w:space="0" w:color="000000"/>
              <w:right w:val="single" w:sz="5" w:space="0" w:color="000000"/>
            </w:tcBorders>
          </w:tcPr>
          <w:p w:rsidR="007B4995" w:rsidRPr="00FC2D31" w:rsidRDefault="007B4995" w:rsidP="007763CF">
            <w:pPr>
              <w:pStyle w:val="TableParagraph"/>
              <w:spacing w:line="360" w:lineRule="auto"/>
              <w:ind w:left="102"/>
              <w:rPr>
                <w:rFonts w:ascii="Calibri" w:eastAsia="Calibri" w:hAnsi="Calibri" w:cs="Calibri"/>
                <w:sz w:val="20"/>
                <w:szCs w:val="20"/>
              </w:rPr>
            </w:pPr>
            <w:r w:rsidRPr="00FC2D31">
              <w:rPr>
                <w:rFonts w:ascii="Calibri" w:eastAsia="Calibri" w:hAnsi="Calibri" w:cs="Calibri"/>
                <w:sz w:val="20"/>
                <w:szCs w:val="20"/>
              </w:rPr>
              <w:t>Commencement of public consultation</w:t>
            </w:r>
          </w:p>
        </w:tc>
        <w:tc>
          <w:tcPr>
            <w:tcW w:w="2090" w:type="dxa"/>
            <w:tcBorders>
              <w:top w:val="single" w:sz="5" w:space="0" w:color="000000"/>
              <w:left w:val="single" w:sz="5" w:space="0" w:color="000000"/>
              <w:bottom w:val="single" w:sz="5" w:space="0" w:color="000000"/>
              <w:right w:val="single" w:sz="5" w:space="0" w:color="000000"/>
            </w:tcBorders>
          </w:tcPr>
          <w:p w:rsidR="007B4995" w:rsidRPr="00FC2D31" w:rsidRDefault="007B4995" w:rsidP="007763CF">
            <w:pPr>
              <w:pStyle w:val="TableParagraph"/>
              <w:spacing w:line="360" w:lineRule="auto"/>
              <w:ind w:left="102"/>
              <w:rPr>
                <w:rFonts w:ascii="Calibri" w:eastAsia="Calibri" w:hAnsi="Calibri" w:cs="Calibri"/>
                <w:sz w:val="20"/>
                <w:szCs w:val="20"/>
              </w:rPr>
            </w:pPr>
            <w:r w:rsidRPr="00FC2D31">
              <w:rPr>
                <w:rFonts w:ascii="Calibri" w:eastAsia="Calibri" w:hAnsi="Calibri" w:cs="Calibri"/>
                <w:sz w:val="20"/>
                <w:szCs w:val="20"/>
              </w:rPr>
              <w:t>1.08. 2012</w:t>
            </w:r>
          </w:p>
        </w:tc>
      </w:tr>
      <w:tr w:rsidR="007B4995" w:rsidRPr="00FC2D31" w:rsidTr="00481555">
        <w:trPr>
          <w:trHeight w:hRule="exact" w:val="451"/>
        </w:trPr>
        <w:tc>
          <w:tcPr>
            <w:tcW w:w="7536" w:type="dxa"/>
            <w:tcBorders>
              <w:top w:val="single" w:sz="5" w:space="0" w:color="000000"/>
              <w:left w:val="single" w:sz="5" w:space="0" w:color="000000"/>
              <w:bottom w:val="single" w:sz="5" w:space="0" w:color="000000"/>
              <w:right w:val="single" w:sz="5" w:space="0" w:color="000000"/>
            </w:tcBorders>
          </w:tcPr>
          <w:p w:rsidR="007B4995" w:rsidRPr="00FC2D31" w:rsidRDefault="007B4995" w:rsidP="007763CF">
            <w:pPr>
              <w:pStyle w:val="TableParagraph"/>
              <w:spacing w:before="1" w:line="360" w:lineRule="auto"/>
              <w:ind w:left="102"/>
              <w:rPr>
                <w:rFonts w:ascii="Calibri" w:eastAsia="Calibri" w:hAnsi="Calibri" w:cs="Calibri"/>
                <w:sz w:val="20"/>
                <w:szCs w:val="20"/>
              </w:rPr>
            </w:pPr>
            <w:r w:rsidRPr="00FC2D31">
              <w:rPr>
                <w:rFonts w:ascii="Calibri" w:eastAsia="Calibri" w:hAnsi="Calibri" w:cs="Calibri"/>
                <w:sz w:val="20"/>
                <w:szCs w:val="20"/>
              </w:rPr>
              <w:t>End of public consultation</w:t>
            </w:r>
          </w:p>
        </w:tc>
        <w:tc>
          <w:tcPr>
            <w:tcW w:w="2090" w:type="dxa"/>
            <w:tcBorders>
              <w:top w:val="single" w:sz="5" w:space="0" w:color="000000"/>
              <w:left w:val="single" w:sz="5" w:space="0" w:color="000000"/>
              <w:bottom w:val="single" w:sz="5" w:space="0" w:color="000000"/>
              <w:right w:val="single" w:sz="5" w:space="0" w:color="000000"/>
            </w:tcBorders>
          </w:tcPr>
          <w:p w:rsidR="007B4995" w:rsidRPr="00FC2D31" w:rsidRDefault="007B4995" w:rsidP="007763CF">
            <w:pPr>
              <w:pStyle w:val="TableParagraph"/>
              <w:spacing w:before="1" w:line="360" w:lineRule="auto"/>
              <w:ind w:left="102"/>
              <w:rPr>
                <w:rFonts w:ascii="Calibri" w:eastAsia="Calibri" w:hAnsi="Calibri" w:cs="Calibri"/>
                <w:sz w:val="20"/>
                <w:szCs w:val="20"/>
              </w:rPr>
            </w:pPr>
            <w:r w:rsidRPr="00FC2D31">
              <w:rPr>
                <w:rFonts w:ascii="Calibri" w:eastAsia="Calibri" w:hAnsi="Calibri" w:cs="Calibri"/>
                <w:sz w:val="20"/>
                <w:szCs w:val="20"/>
              </w:rPr>
              <w:t>31.10.2012</w:t>
            </w:r>
          </w:p>
        </w:tc>
      </w:tr>
      <w:tr w:rsidR="007B4995" w:rsidRPr="00FC2D31" w:rsidTr="00481555">
        <w:trPr>
          <w:trHeight w:hRule="exact" w:val="449"/>
        </w:trPr>
        <w:tc>
          <w:tcPr>
            <w:tcW w:w="7536" w:type="dxa"/>
            <w:tcBorders>
              <w:top w:val="single" w:sz="5" w:space="0" w:color="000000"/>
              <w:left w:val="single" w:sz="5" w:space="0" w:color="000000"/>
              <w:bottom w:val="single" w:sz="5" w:space="0" w:color="000000"/>
              <w:right w:val="single" w:sz="5" w:space="0" w:color="000000"/>
            </w:tcBorders>
          </w:tcPr>
          <w:p w:rsidR="007B4995" w:rsidRPr="00FC2D31" w:rsidRDefault="007B4995" w:rsidP="007763CF">
            <w:pPr>
              <w:pStyle w:val="TableParagraph"/>
              <w:spacing w:line="360" w:lineRule="auto"/>
              <w:ind w:left="102"/>
              <w:rPr>
                <w:rFonts w:ascii="Calibri" w:eastAsia="Calibri" w:hAnsi="Calibri" w:cs="Calibri"/>
                <w:sz w:val="20"/>
                <w:szCs w:val="20"/>
              </w:rPr>
            </w:pPr>
            <w:r w:rsidRPr="00FC2D31">
              <w:rPr>
                <w:rFonts w:ascii="Calibri" w:eastAsia="Calibri" w:hAnsi="Calibri" w:cs="Calibri"/>
                <w:sz w:val="20"/>
                <w:szCs w:val="20"/>
              </w:rPr>
              <w:t>Definitive version</w:t>
            </w:r>
          </w:p>
        </w:tc>
        <w:tc>
          <w:tcPr>
            <w:tcW w:w="2090" w:type="dxa"/>
            <w:tcBorders>
              <w:top w:val="single" w:sz="5" w:space="0" w:color="000000"/>
              <w:left w:val="single" w:sz="5" w:space="0" w:color="000000"/>
              <w:bottom w:val="single" w:sz="5" w:space="0" w:color="000000"/>
              <w:right w:val="single" w:sz="5" w:space="0" w:color="000000"/>
            </w:tcBorders>
          </w:tcPr>
          <w:p w:rsidR="007B4995" w:rsidRPr="00FC2D31" w:rsidRDefault="007B4995" w:rsidP="007763CF">
            <w:pPr>
              <w:pStyle w:val="TableParagraph"/>
              <w:spacing w:line="360" w:lineRule="auto"/>
              <w:ind w:left="102"/>
              <w:rPr>
                <w:rFonts w:ascii="Calibri" w:eastAsia="Calibri" w:hAnsi="Calibri" w:cs="Calibri"/>
                <w:sz w:val="20"/>
                <w:szCs w:val="20"/>
              </w:rPr>
            </w:pPr>
            <w:r w:rsidRPr="00FC2D31">
              <w:rPr>
                <w:rFonts w:ascii="Calibri" w:eastAsia="Calibri" w:hAnsi="Calibri" w:cs="Calibri"/>
                <w:sz w:val="20"/>
                <w:szCs w:val="20"/>
              </w:rPr>
              <w:t>13.05.2013</w:t>
            </w:r>
          </w:p>
        </w:tc>
      </w:tr>
    </w:tbl>
    <w:p w:rsidR="007B4995" w:rsidRPr="00FC2D31" w:rsidRDefault="007B4995" w:rsidP="007763CF">
      <w:pPr>
        <w:spacing w:before="4" w:line="360" w:lineRule="auto"/>
        <w:rPr>
          <w:sz w:val="20"/>
          <w:szCs w:val="20"/>
        </w:rPr>
      </w:pPr>
    </w:p>
    <w:p w:rsidR="007B4995" w:rsidRPr="00FC2D31" w:rsidRDefault="007B4995" w:rsidP="007763CF">
      <w:pPr>
        <w:spacing w:line="360" w:lineRule="auto"/>
        <w:rPr>
          <w:sz w:val="20"/>
          <w:szCs w:val="20"/>
        </w:rPr>
      </w:pPr>
    </w:p>
    <w:p w:rsidR="007B4995" w:rsidRPr="00FC2D31" w:rsidRDefault="007B4995" w:rsidP="007763CF">
      <w:pPr>
        <w:spacing w:line="360" w:lineRule="auto"/>
        <w:rPr>
          <w:sz w:val="20"/>
          <w:szCs w:val="20"/>
        </w:rPr>
      </w:pPr>
    </w:p>
    <w:p w:rsidR="007B4995" w:rsidRPr="00FC2D31" w:rsidRDefault="007B4995" w:rsidP="007763CF">
      <w:pPr>
        <w:spacing w:line="360" w:lineRule="auto"/>
        <w:rPr>
          <w:sz w:val="20"/>
          <w:szCs w:val="20"/>
        </w:rPr>
      </w:pPr>
    </w:p>
    <w:p w:rsidR="007B4995" w:rsidRPr="00FC2D31" w:rsidRDefault="007B4995" w:rsidP="007763CF">
      <w:pPr>
        <w:spacing w:line="360" w:lineRule="auto"/>
        <w:rPr>
          <w:sz w:val="20"/>
          <w:szCs w:val="20"/>
        </w:rPr>
      </w:pPr>
    </w:p>
    <w:p w:rsidR="007B4995" w:rsidRPr="00FC2D31" w:rsidRDefault="007B4995" w:rsidP="007763CF">
      <w:pPr>
        <w:spacing w:line="360" w:lineRule="auto"/>
        <w:jc w:val="right"/>
        <w:rPr>
          <w:rFonts w:ascii="Calibri" w:eastAsia="Calibri" w:hAnsi="Calibri" w:cs="Calibri"/>
          <w:sz w:val="20"/>
          <w:szCs w:val="20"/>
        </w:rPr>
        <w:sectPr w:rsidR="007B4995" w:rsidRPr="00FC2D31" w:rsidSect="00E64FEE">
          <w:pgSz w:w="11907" w:h="16840"/>
          <w:pgMar w:top="1418" w:right="1134" w:bottom="1247" w:left="1077" w:header="720" w:footer="567" w:gutter="0"/>
          <w:cols w:space="720"/>
        </w:sectPr>
      </w:pPr>
    </w:p>
    <w:p w:rsidR="007B4995" w:rsidRPr="00FC2D31" w:rsidRDefault="007B4995" w:rsidP="007763CF">
      <w:pPr>
        <w:pStyle w:val="Heading1"/>
        <w:spacing w:before="57" w:line="360" w:lineRule="auto"/>
        <w:ind w:left="113" w:right="3912"/>
        <w:jc w:val="both"/>
        <w:rPr>
          <w:b w:val="0"/>
          <w:sz w:val="20"/>
          <w:szCs w:val="20"/>
        </w:rPr>
      </w:pPr>
      <w:r w:rsidRPr="00FC2D31">
        <w:rPr>
          <w:sz w:val="20"/>
          <w:szCs w:val="20"/>
        </w:rPr>
        <w:lastRenderedPageBreak/>
        <w:t>Premises</w:t>
      </w:r>
    </w:p>
    <w:p w:rsidR="007B4995" w:rsidRPr="00FC2D31" w:rsidRDefault="007B4995" w:rsidP="007763CF">
      <w:pPr>
        <w:spacing w:before="9" w:line="360" w:lineRule="auto"/>
        <w:rPr>
          <w:sz w:val="20"/>
          <w:szCs w:val="20"/>
        </w:rPr>
      </w:pPr>
    </w:p>
    <w:p w:rsidR="007B4995" w:rsidRPr="00FC2D31" w:rsidRDefault="007B4995" w:rsidP="007763CF">
      <w:pPr>
        <w:pStyle w:val="BodyText"/>
        <w:spacing w:line="360" w:lineRule="auto"/>
        <w:ind w:right="112"/>
        <w:jc w:val="both"/>
        <w:rPr>
          <w:sz w:val="20"/>
          <w:szCs w:val="20"/>
        </w:rPr>
      </w:pPr>
      <w:r w:rsidRPr="00FC2D31">
        <w:rPr>
          <w:sz w:val="20"/>
          <w:szCs w:val="20"/>
        </w:rPr>
        <w:t xml:space="preserve">In view of the importance of biological medicinal products, including biosimilar products, </w:t>
      </w:r>
      <w:r w:rsidR="00C70E11">
        <w:rPr>
          <w:sz w:val="20"/>
          <w:szCs w:val="20"/>
        </w:rPr>
        <w:t>for</w:t>
      </w:r>
      <w:r w:rsidRPr="00FC2D31">
        <w:rPr>
          <w:sz w:val="20"/>
          <w:szCs w:val="20"/>
        </w:rPr>
        <w:t xml:space="preserve"> the treatment of numerous serious and potentially lethal pathologies, and for many of which no effective therapeutic treatment was hitherto available, the Agenzia Italiana del Farmaco (AIFA) [Medicines and Healthcare Products Regulatory Agency] considers </w:t>
      </w:r>
      <w:r w:rsidR="005358BE" w:rsidRPr="00FC2D31">
        <w:rPr>
          <w:sz w:val="20"/>
          <w:szCs w:val="20"/>
        </w:rPr>
        <w:t>it</w:t>
      </w:r>
      <w:r w:rsidRPr="00FC2D31">
        <w:rPr>
          <w:sz w:val="20"/>
          <w:szCs w:val="20"/>
        </w:rPr>
        <w:t xml:space="preserve"> essential to </w:t>
      </w:r>
      <w:r w:rsidR="00C70E11">
        <w:rPr>
          <w:sz w:val="20"/>
          <w:szCs w:val="20"/>
        </w:rPr>
        <w:t>release this</w:t>
      </w:r>
      <w:r w:rsidRPr="00FC2D31">
        <w:rPr>
          <w:sz w:val="20"/>
          <w:szCs w:val="20"/>
        </w:rPr>
        <w:t xml:space="preserve"> document </w:t>
      </w:r>
      <w:r w:rsidR="00C70E11">
        <w:rPr>
          <w:sz w:val="20"/>
          <w:szCs w:val="20"/>
        </w:rPr>
        <w:t>in order</w:t>
      </w:r>
      <w:r w:rsidRPr="00FC2D31">
        <w:rPr>
          <w:sz w:val="20"/>
          <w:szCs w:val="20"/>
        </w:rPr>
        <w:t xml:space="preserve"> to promote the knowledge and use of biosimilar medicinal products </w:t>
      </w:r>
      <w:r w:rsidR="00C70E11">
        <w:rPr>
          <w:sz w:val="20"/>
          <w:szCs w:val="20"/>
        </w:rPr>
        <w:t>and hence</w:t>
      </w:r>
      <w:r w:rsidRPr="00FC2D31">
        <w:rPr>
          <w:sz w:val="20"/>
          <w:szCs w:val="20"/>
        </w:rPr>
        <w:t xml:space="preserve"> </w:t>
      </w:r>
      <w:r w:rsidR="005358BE" w:rsidRPr="00FC2D31">
        <w:rPr>
          <w:sz w:val="20"/>
          <w:szCs w:val="20"/>
        </w:rPr>
        <w:t>provide</w:t>
      </w:r>
      <w:r w:rsidRPr="00FC2D31">
        <w:rPr>
          <w:sz w:val="20"/>
          <w:szCs w:val="20"/>
        </w:rPr>
        <w:t xml:space="preserve"> health operators and citizens</w:t>
      </w:r>
      <w:r w:rsidR="005358BE" w:rsidRPr="00FC2D31">
        <w:rPr>
          <w:sz w:val="20"/>
          <w:szCs w:val="20"/>
        </w:rPr>
        <w:t xml:space="preserve"> with</w:t>
      </w:r>
      <w:r w:rsidRPr="00FC2D31">
        <w:rPr>
          <w:sz w:val="20"/>
          <w:szCs w:val="20"/>
        </w:rPr>
        <w:t xml:space="preserve"> clear, transparent, sound, objective and authoritative information on the following questions:</w:t>
      </w:r>
    </w:p>
    <w:p w:rsidR="007B4995" w:rsidRPr="00FC2D31" w:rsidRDefault="007B4995" w:rsidP="007763CF">
      <w:pPr>
        <w:spacing w:line="360" w:lineRule="auto"/>
        <w:rPr>
          <w:sz w:val="20"/>
          <w:szCs w:val="20"/>
        </w:rPr>
      </w:pPr>
    </w:p>
    <w:p w:rsidR="007B4995" w:rsidRPr="00FC2D31" w:rsidRDefault="007B4995" w:rsidP="007763CF">
      <w:pPr>
        <w:pStyle w:val="BodyText"/>
        <w:numPr>
          <w:ilvl w:val="0"/>
          <w:numId w:val="4"/>
        </w:numPr>
        <w:tabs>
          <w:tab w:val="left" w:pos="832"/>
        </w:tabs>
        <w:spacing w:line="360" w:lineRule="auto"/>
        <w:ind w:left="832"/>
        <w:rPr>
          <w:sz w:val="20"/>
          <w:szCs w:val="20"/>
        </w:rPr>
      </w:pPr>
      <w:r w:rsidRPr="00FC2D31">
        <w:rPr>
          <w:sz w:val="20"/>
          <w:szCs w:val="20"/>
        </w:rPr>
        <w:t xml:space="preserve">Definition and principal </w:t>
      </w:r>
      <w:r w:rsidR="00504029" w:rsidRPr="00FC2D31">
        <w:rPr>
          <w:sz w:val="20"/>
          <w:szCs w:val="20"/>
        </w:rPr>
        <w:t>characterizing</w:t>
      </w:r>
      <w:r w:rsidRPr="00FC2D31">
        <w:rPr>
          <w:sz w:val="20"/>
          <w:szCs w:val="20"/>
        </w:rPr>
        <w:t xml:space="preserve"> criteria of biological and biosimilar medicinal products;</w:t>
      </w:r>
    </w:p>
    <w:p w:rsidR="007B4995" w:rsidRPr="00FC2D31" w:rsidRDefault="007B4995" w:rsidP="007763CF">
      <w:pPr>
        <w:spacing w:before="6" w:line="360" w:lineRule="auto"/>
        <w:rPr>
          <w:sz w:val="20"/>
          <w:szCs w:val="20"/>
        </w:rPr>
      </w:pPr>
    </w:p>
    <w:p w:rsidR="007B4995" w:rsidRPr="00FC2D31" w:rsidRDefault="007B4995" w:rsidP="007763CF">
      <w:pPr>
        <w:pStyle w:val="BodyText"/>
        <w:numPr>
          <w:ilvl w:val="0"/>
          <w:numId w:val="4"/>
        </w:numPr>
        <w:tabs>
          <w:tab w:val="left" w:pos="832"/>
        </w:tabs>
        <w:spacing w:line="360" w:lineRule="auto"/>
        <w:ind w:left="832"/>
        <w:rPr>
          <w:sz w:val="20"/>
          <w:szCs w:val="20"/>
        </w:rPr>
      </w:pPr>
      <w:r w:rsidRPr="00FC2D31">
        <w:rPr>
          <w:sz w:val="20"/>
          <w:szCs w:val="20"/>
        </w:rPr>
        <w:t>Classification of regulatory laws in force in the EU on biosimilar medicinal products;</w:t>
      </w:r>
    </w:p>
    <w:p w:rsidR="007B4995" w:rsidRPr="00FC2D31" w:rsidRDefault="007B4995" w:rsidP="007763CF">
      <w:pPr>
        <w:spacing w:before="6" w:line="360" w:lineRule="auto"/>
        <w:rPr>
          <w:sz w:val="20"/>
          <w:szCs w:val="20"/>
        </w:rPr>
      </w:pPr>
    </w:p>
    <w:p w:rsidR="007B4995" w:rsidRPr="00C70E11" w:rsidRDefault="007B4995" w:rsidP="007763CF">
      <w:pPr>
        <w:pStyle w:val="BodyText"/>
        <w:numPr>
          <w:ilvl w:val="0"/>
          <w:numId w:val="4"/>
        </w:numPr>
        <w:tabs>
          <w:tab w:val="left" w:pos="832"/>
        </w:tabs>
        <w:spacing w:line="360" w:lineRule="auto"/>
        <w:ind w:left="832"/>
        <w:rPr>
          <w:sz w:val="20"/>
          <w:szCs w:val="20"/>
        </w:rPr>
      </w:pPr>
      <w:r w:rsidRPr="00FC2D31">
        <w:rPr>
          <w:sz w:val="20"/>
          <w:szCs w:val="20"/>
        </w:rPr>
        <w:t>Role played by biosimilar medicinal products in the NHS's economic sustainability</w:t>
      </w:r>
    </w:p>
    <w:p w:rsidR="007B4995" w:rsidRPr="00FC2D31" w:rsidRDefault="007B4995" w:rsidP="007763CF">
      <w:pPr>
        <w:spacing w:line="360" w:lineRule="auto"/>
        <w:rPr>
          <w:sz w:val="20"/>
          <w:szCs w:val="20"/>
        </w:rPr>
      </w:pPr>
    </w:p>
    <w:p w:rsidR="007B4995" w:rsidRPr="00FC2D31" w:rsidRDefault="007B4995" w:rsidP="007763CF">
      <w:pPr>
        <w:spacing w:before="6" w:line="360" w:lineRule="auto"/>
        <w:rPr>
          <w:sz w:val="20"/>
          <w:szCs w:val="20"/>
        </w:rPr>
      </w:pPr>
    </w:p>
    <w:p w:rsidR="007B4995" w:rsidRPr="00FC2D31" w:rsidRDefault="007B4995" w:rsidP="007763CF">
      <w:pPr>
        <w:pStyle w:val="Heading1"/>
        <w:spacing w:line="360" w:lineRule="auto"/>
        <w:ind w:left="113" w:right="2948"/>
        <w:jc w:val="both"/>
        <w:rPr>
          <w:b w:val="0"/>
          <w:sz w:val="20"/>
          <w:szCs w:val="20"/>
        </w:rPr>
      </w:pPr>
      <w:r w:rsidRPr="00FC2D31">
        <w:rPr>
          <w:sz w:val="20"/>
          <w:szCs w:val="20"/>
        </w:rPr>
        <w:t>Introduction</w:t>
      </w:r>
    </w:p>
    <w:p w:rsidR="007B4995" w:rsidRPr="00FC2D31" w:rsidRDefault="007B4995" w:rsidP="007763CF">
      <w:pPr>
        <w:spacing w:before="9" w:line="360" w:lineRule="auto"/>
        <w:rPr>
          <w:sz w:val="20"/>
          <w:szCs w:val="20"/>
        </w:rPr>
      </w:pPr>
    </w:p>
    <w:p w:rsidR="007B4995" w:rsidRPr="00FC2D31" w:rsidRDefault="007B4995" w:rsidP="007763CF">
      <w:pPr>
        <w:spacing w:line="360" w:lineRule="auto"/>
        <w:rPr>
          <w:sz w:val="20"/>
          <w:szCs w:val="20"/>
        </w:rPr>
      </w:pPr>
    </w:p>
    <w:p w:rsidR="007B4995" w:rsidRPr="00FC2D31" w:rsidRDefault="007B4995" w:rsidP="007763CF">
      <w:pPr>
        <w:pStyle w:val="BodyText"/>
        <w:spacing w:line="360" w:lineRule="auto"/>
        <w:ind w:right="112"/>
        <w:jc w:val="both"/>
        <w:rPr>
          <w:sz w:val="20"/>
          <w:szCs w:val="20"/>
        </w:rPr>
      </w:pPr>
      <w:r w:rsidRPr="00FC2D31">
        <w:rPr>
          <w:sz w:val="20"/>
          <w:szCs w:val="20"/>
        </w:rPr>
        <w:t xml:space="preserve">Biotechnological techniques have made it possible to develop </w:t>
      </w:r>
      <w:r w:rsidR="005358BE" w:rsidRPr="00FC2D31">
        <w:rPr>
          <w:sz w:val="20"/>
          <w:szCs w:val="20"/>
        </w:rPr>
        <w:t>therapies</w:t>
      </w:r>
      <w:r w:rsidRPr="00FC2D31">
        <w:rPr>
          <w:sz w:val="20"/>
          <w:szCs w:val="20"/>
        </w:rPr>
        <w:t xml:space="preserve"> </w:t>
      </w:r>
      <w:r w:rsidR="005358BE" w:rsidRPr="00FC2D31">
        <w:rPr>
          <w:sz w:val="20"/>
          <w:szCs w:val="20"/>
        </w:rPr>
        <w:t xml:space="preserve">for a </w:t>
      </w:r>
      <w:r w:rsidR="00C70E11">
        <w:rPr>
          <w:sz w:val="20"/>
          <w:szCs w:val="20"/>
        </w:rPr>
        <w:t>large number of</w:t>
      </w:r>
      <w:r w:rsidR="005358BE" w:rsidRPr="00FC2D31">
        <w:rPr>
          <w:sz w:val="20"/>
          <w:szCs w:val="20"/>
        </w:rPr>
        <w:t xml:space="preserve"> </w:t>
      </w:r>
      <w:r w:rsidRPr="00FC2D31">
        <w:rPr>
          <w:sz w:val="20"/>
          <w:szCs w:val="20"/>
        </w:rPr>
        <w:t>clinical</w:t>
      </w:r>
      <w:r w:rsidR="00C70E11">
        <w:rPr>
          <w:sz w:val="20"/>
          <w:szCs w:val="20"/>
        </w:rPr>
        <w:t>ly</w:t>
      </w:r>
      <w:r w:rsidRPr="00FC2D31">
        <w:rPr>
          <w:sz w:val="20"/>
          <w:szCs w:val="20"/>
        </w:rPr>
        <w:t xml:space="preserve"> and epidemiological</w:t>
      </w:r>
      <w:r w:rsidR="00C70E11">
        <w:rPr>
          <w:sz w:val="20"/>
          <w:szCs w:val="20"/>
        </w:rPr>
        <w:t>ly</w:t>
      </w:r>
      <w:r w:rsidRPr="00FC2D31">
        <w:rPr>
          <w:sz w:val="20"/>
          <w:szCs w:val="20"/>
        </w:rPr>
        <w:t xml:space="preserve"> serious</w:t>
      </w:r>
      <w:r w:rsidR="00C70E11">
        <w:rPr>
          <w:sz w:val="20"/>
          <w:szCs w:val="20"/>
        </w:rPr>
        <w:t xml:space="preserve"> diseases</w:t>
      </w:r>
      <w:r w:rsidR="005358BE" w:rsidRPr="00FC2D31">
        <w:rPr>
          <w:sz w:val="20"/>
          <w:szCs w:val="20"/>
        </w:rPr>
        <w:t>,</w:t>
      </w:r>
      <w:r w:rsidR="00C70E11">
        <w:rPr>
          <w:sz w:val="20"/>
          <w:szCs w:val="20"/>
        </w:rPr>
        <w:t xml:space="preserve"> which </w:t>
      </w:r>
      <w:r w:rsidR="007D515F">
        <w:rPr>
          <w:sz w:val="20"/>
          <w:szCs w:val="20"/>
        </w:rPr>
        <w:t xml:space="preserve">now </w:t>
      </w:r>
      <w:r w:rsidR="00C70E11">
        <w:rPr>
          <w:sz w:val="20"/>
          <w:szCs w:val="20"/>
        </w:rPr>
        <w:t>represent</w:t>
      </w:r>
      <w:r w:rsidRPr="00FC2D31">
        <w:rPr>
          <w:sz w:val="20"/>
          <w:szCs w:val="20"/>
        </w:rPr>
        <w:t xml:space="preserve"> fundamental solutions </w:t>
      </w:r>
      <w:r w:rsidR="00C70E11">
        <w:rPr>
          <w:sz w:val="20"/>
          <w:szCs w:val="20"/>
        </w:rPr>
        <w:t>for</w:t>
      </w:r>
      <w:r w:rsidRPr="00FC2D31">
        <w:rPr>
          <w:sz w:val="20"/>
          <w:szCs w:val="20"/>
        </w:rPr>
        <w:t xml:space="preserve"> the population's increasing health demand. At present, millions of patients worldwide </w:t>
      </w:r>
      <w:r w:rsidR="00C70E11">
        <w:rPr>
          <w:sz w:val="20"/>
          <w:szCs w:val="20"/>
        </w:rPr>
        <w:t>are benefitting</w:t>
      </w:r>
      <w:r w:rsidRPr="00FC2D31">
        <w:rPr>
          <w:sz w:val="20"/>
          <w:szCs w:val="20"/>
        </w:rPr>
        <w:t xml:space="preserve"> from biological medicinal products approved for the treatment or prevention of many illnesses such as, for example, cancer or inflammatory, autoimmune, neurological and degenerative diseases.</w:t>
      </w:r>
    </w:p>
    <w:p w:rsidR="007B4995" w:rsidRPr="00FC2D31" w:rsidRDefault="007B4995" w:rsidP="007763CF">
      <w:pPr>
        <w:spacing w:line="360" w:lineRule="auto"/>
        <w:rPr>
          <w:sz w:val="20"/>
          <w:szCs w:val="20"/>
        </w:rPr>
      </w:pPr>
    </w:p>
    <w:p w:rsidR="007B4995" w:rsidRPr="00FC2D31" w:rsidRDefault="006F5D42" w:rsidP="007763CF">
      <w:pPr>
        <w:pStyle w:val="BodyText"/>
        <w:spacing w:line="360" w:lineRule="auto"/>
        <w:ind w:right="111"/>
        <w:jc w:val="both"/>
        <w:rPr>
          <w:sz w:val="20"/>
          <w:szCs w:val="20"/>
        </w:rPr>
      </w:pPr>
      <w:r>
        <w:rPr>
          <w:sz w:val="20"/>
          <w:szCs w:val="20"/>
        </w:rPr>
        <w:t>Biotechnologically derived</w:t>
      </w:r>
      <w:r w:rsidR="00504029" w:rsidRPr="00FC2D31">
        <w:rPr>
          <w:sz w:val="20"/>
          <w:szCs w:val="20"/>
        </w:rPr>
        <w:t xml:space="preserve"> therapies are the product of enormous investment</w:t>
      </w:r>
      <w:r w:rsidR="005358BE" w:rsidRPr="00FC2D31">
        <w:rPr>
          <w:sz w:val="20"/>
          <w:szCs w:val="20"/>
        </w:rPr>
        <w:t>s</w:t>
      </w:r>
      <w:r w:rsidR="00504029" w:rsidRPr="00FC2D31">
        <w:rPr>
          <w:sz w:val="20"/>
          <w:szCs w:val="20"/>
        </w:rPr>
        <w:t xml:space="preserve"> and effort at all stages of </w:t>
      </w:r>
      <w:r w:rsidR="00C70E11">
        <w:rPr>
          <w:sz w:val="20"/>
          <w:szCs w:val="20"/>
        </w:rPr>
        <w:t xml:space="preserve">their </w:t>
      </w:r>
      <w:r w:rsidR="00504029" w:rsidRPr="00FC2D31">
        <w:rPr>
          <w:sz w:val="20"/>
          <w:szCs w:val="20"/>
        </w:rPr>
        <w:t>development, from the initial research phases to sophisticated production process</w:t>
      </w:r>
      <w:r w:rsidR="00C70E11">
        <w:rPr>
          <w:sz w:val="20"/>
          <w:szCs w:val="20"/>
        </w:rPr>
        <w:t>es</w:t>
      </w:r>
      <w:r w:rsidR="00504029" w:rsidRPr="00FC2D31">
        <w:rPr>
          <w:sz w:val="20"/>
          <w:szCs w:val="20"/>
        </w:rPr>
        <w:t xml:space="preserve">, market entry and dispensing </w:t>
      </w:r>
      <w:r w:rsidR="00C70E11" w:rsidRPr="00FC2D31">
        <w:rPr>
          <w:sz w:val="20"/>
          <w:szCs w:val="20"/>
        </w:rPr>
        <w:t>cures</w:t>
      </w:r>
      <w:r w:rsidR="00504029" w:rsidRPr="00FC2D31">
        <w:rPr>
          <w:sz w:val="20"/>
          <w:szCs w:val="20"/>
        </w:rPr>
        <w:t xml:space="preserve">. </w:t>
      </w:r>
      <w:r w:rsidR="005358BE" w:rsidRPr="00FC2D31">
        <w:rPr>
          <w:sz w:val="20"/>
          <w:szCs w:val="20"/>
        </w:rPr>
        <w:t xml:space="preserve">However, </w:t>
      </w:r>
      <w:r w:rsidR="00C70E11">
        <w:rPr>
          <w:sz w:val="20"/>
          <w:szCs w:val="20"/>
        </w:rPr>
        <w:t>such costs pose</w:t>
      </w:r>
      <w:r w:rsidR="007B4995" w:rsidRPr="00FC2D31">
        <w:rPr>
          <w:sz w:val="20"/>
          <w:szCs w:val="20"/>
        </w:rPr>
        <w:t xml:space="preserve"> a significant problem in terms of economic sustainability </w:t>
      </w:r>
      <w:r w:rsidR="00C70E11">
        <w:rPr>
          <w:sz w:val="20"/>
          <w:szCs w:val="20"/>
        </w:rPr>
        <w:t>as concerns the identification</w:t>
      </w:r>
      <w:r w:rsidR="007B4995" w:rsidRPr="00FC2D31">
        <w:rPr>
          <w:sz w:val="20"/>
          <w:szCs w:val="20"/>
        </w:rPr>
        <w:t xml:space="preserve"> and </w:t>
      </w:r>
      <w:r w:rsidR="00C70E11">
        <w:rPr>
          <w:sz w:val="20"/>
          <w:szCs w:val="20"/>
        </w:rPr>
        <w:t>definition of</w:t>
      </w:r>
      <w:r w:rsidR="007B4995" w:rsidRPr="00FC2D31">
        <w:rPr>
          <w:sz w:val="20"/>
          <w:szCs w:val="20"/>
        </w:rPr>
        <w:t xml:space="preserve"> the best allocation of available resources. </w:t>
      </w:r>
      <w:r w:rsidR="00C70E11">
        <w:rPr>
          <w:sz w:val="20"/>
          <w:szCs w:val="20"/>
        </w:rPr>
        <w:t>Howe</w:t>
      </w:r>
      <w:r w:rsidR="007D515F">
        <w:rPr>
          <w:sz w:val="20"/>
          <w:szCs w:val="20"/>
        </w:rPr>
        <w:t>v</w:t>
      </w:r>
      <w:r w:rsidR="00C70E11">
        <w:rPr>
          <w:sz w:val="20"/>
          <w:szCs w:val="20"/>
        </w:rPr>
        <w:t>er, if</w:t>
      </w:r>
      <w:r w:rsidR="007B4995" w:rsidRPr="00FC2D31">
        <w:rPr>
          <w:sz w:val="20"/>
          <w:szCs w:val="20"/>
        </w:rPr>
        <w:t xml:space="preserve"> on the one </w:t>
      </w:r>
      <w:r w:rsidR="00C70E11">
        <w:rPr>
          <w:sz w:val="20"/>
          <w:szCs w:val="20"/>
        </w:rPr>
        <w:t>hand</w:t>
      </w:r>
      <w:r w:rsidR="00504029" w:rsidRPr="00FC2D31">
        <w:rPr>
          <w:sz w:val="20"/>
          <w:szCs w:val="20"/>
        </w:rPr>
        <w:t>,</w:t>
      </w:r>
      <w:r w:rsidR="007B4995" w:rsidRPr="00FC2D31">
        <w:rPr>
          <w:sz w:val="20"/>
          <w:szCs w:val="20"/>
        </w:rPr>
        <w:t xml:space="preserve"> there </w:t>
      </w:r>
      <w:r w:rsidR="00504029" w:rsidRPr="00FC2D31">
        <w:rPr>
          <w:sz w:val="20"/>
          <w:szCs w:val="20"/>
        </w:rPr>
        <w:t>are</w:t>
      </w:r>
      <w:r w:rsidR="007B4995" w:rsidRPr="00FC2D31">
        <w:rPr>
          <w:sz w:val="20"/>
          <w:szCs w:val="20"/>
        </w:rPr>
        <w:t xml:space="preserve"> a large number of biotechnological medicinal products in </w:t>
      </w:r>
      <w:r w:rsidR="007705C1" w:rsidRPr="00FC2D31">
        <w:rPr>
          <w:sz w:val="20"/>
          <w:szCs w:val="20"/>
        </w:rPr>
        <w:t>phase</w:t>
      </w:r>
      <w:r w:rsidR="007B4995" w:rsidRPr="00FC2D31">
        <w:rPr>
          <w:sz w:val="20"/>
          <w:szCs w:val="20"/>
        </w:rPr>
        <w:t xml:space="preserve"> of cli</w:t>
      </w:r>
      <w:r w:rsidR="00C70E11">
        <w:rPr>
          <w:sz w:val="20"/>
          <w:szCs w:val="20"/>
        </w:rPr>
        <w:t xml:space="preserve">nical development, on the other, </w:t>
      </w:r>
      <w:r w:rsidR="007B4995" w:rsidRPr="00FC2D31">
        <w:rPr>
          <w:sz w:val="20"/>
          <w:szCs w:val="20"/>
        </w:rPr>
        <w:t xml:space="preserve">the first generation of biological medicinal products has already reached or is reaching patent expiration. </w:t>
      </w:r>
      <w:r w:rsidR="00C70E11">
        <w:rPr>
          <w:sz w:val="20"/>
          <w:szCs w:val="20"/>
        </w:rPr>
        <w:t xml:space="preserve">In fact, the loss of patent protection </w:t>
      </w:r>
      <w:r w:rsidR="007705C1" w:rsidRPr="00FC2D31">
        <w:rPr>
          <w:sz w:val="20"/>
          <w:szCs w:val="20"/>
        </w:rPr>
        <w:t xml:space="preserve">allows </w:t>
      </w:r>
      <w:r w:rsidR="007D515F">
        <w:rPr>
          <w:sz w:val="20"/>
          <w:szCs w:val="20"/>
        </w:rPr>
        <w:t xml:space="preserve">the </w:t>
      </w:r>
      <w:r w:rsidR="007B4995" w:rsidRPr="00FC2D31">
        <w:rPr>
          <w:sz w:val="20"/>
          <w:szCs w:val="20"/>
        </w:rPr>
        <w:t>so-called</w:t>
      </w:r>
      <w:r w:rsidR="007B4995" w:rsidRPr="00FC2D31">
        <w:rPr>
          <w:b/>
          <w:sz w:val="20"/>
          <w:szCs w:val="20"/>
        </w:rPr>
        <w:t xml:space="preserve"> "biosimilar products"</w:t>
      </w:r>
      <w:r w:rsidR="007B4995" w:rsidRPr="00FC2D31">
        <w:rPr>
          <w:sz w:val="20"/>
          <w:szCs w:val="20"/>
        </w:rPr>
        <w:t xml:space="preserve"> to enter the therapeutic stage</w:t>
      </w:r>
      <w:r w:rsidR="007705C1" w:rsidRPr="00FC2D31">
        <w:rPr>
          <w:sz w:val="20"/>
          <w:szCs w:val="20"/>
        </w:rPr>
        <w:t>:</w:t>
      </w:r>
      <w:r w:rsidR="007B4995" w:rsidRPr="00FC2D31">
        <w:rPr>
          <w:sz w:val="20"/>
          <w:szCs w:val="20"/>
        </w:rPr>
        <w:t xml:space="preserve"> </w:t>
      </w:r>
      <w:r w:rsidR="007D515F">
        <w:rPr>
          <w:sz w:val="20"/>
          <w:szCs w:val="20"/>
        </w:rPr>
        <w:t xml:space="preserve">i.e. </w:t>
      </w:r>
      <w:r w:rsidR="007B4995" w:rsidRPr="00FC2D31">
        <w:rPr>
          <w:sz w:val="20"/>
          <w:szCs w:val="20"/>
        </w:rPr>
        <w:t xml:space="preserve">products </w:t>
      </w:r>
      <w:r w:rsidR="007705C1" w:rsidRPr="00FC2D31">
        <w:rPr>
          <w:sz w:val="20"/>
          <w:szCs w:val="20"/>
        </w:rPr>
        <w:t xml:space="preserve">that are similar to </w:t>
      </w:r>
      <w:r w:rsidR="00DE2A9E" w:rsidRPr="00FC2D31">
        <w:rPr>
          <w:sz w:val="20"/>
          <w:szCs w:val="20"/>
        </w:rPr>
        <w:t>expired</w:t>
      </w:r>
      <w:r w:rsidR="007705C1" w:rsidRPr="00FC2D31">
        <w:rPr>
          <w:sz w:val="20"/>
          <w:szCs w:val="20"/>
        </w:rPr>
        <w:t xml:space="preserve">-patent innovator </w:t>
      </w:r>
      <w:r w:rsidR="007B4995" w:rsidRPr="00FC2D31">
        <w:rPr>
          <w:sz w:val="20"/>
          <w:szCs w:val="20"/>
        </w:rPr>
        <w:t xml:space="preserve">biological products </w:t>
      </w:r>
      <w:r w:rsidR="007705C1" w:rsidRPr="00FC2D31">
        <w:rPr>
          <w:sz w:val="20"/>
          <w:szCs w:val="20"/>
        </w:rPr>
        <w:t>and</w:t>
      </w:r>
      <w:r w:rsidR="00DE2A9E" w:rsidRPr="00FC2D31">
        <w:rPr>
          <w:sz w:val="20"/>
          <w:szCs w:val="20"/>
        </w:rPr>
        <w:t xml:space="preserve"> that</w:t>
      </w:r>
      <w:r w:rsidR="007B4995" w:rsidRPr="00FC2D31">
        <w:rPr>
          <w:sz w:val="20"/>
          <w:szCs w:val="20"/>
        </w:rPr>
        <w:t xml:space="preserve"> can be produced by pharmaceutical industries on the basis of procedures and rules laid down by specific European guidelines and marketed at prices lower than </w:t>
      </w:r>
      <w:r w:rsidR="00E64FEE" w:rsidRPr="00FC2D31">
        <w:rPr>
          <w:sz w:val="20"/>
          <w:szCs w:val="20"/>
        </w:rPr>
        <w:t>their</w:t>
      </w:r>
      <w:r w:rsidR="007B4995" w:rsidRPr="00FC2D31">
        <w:rPr>
          <w:sz w:val="20"/>
          <w:szCs w:val="20"/>
        </w:rPr>
        <w:t xml:space="preserve"> </w:t>
      </w:r>
      <w:r w:rsidR="00E64FEE" w:rsidRPr="00FC2D31">
        <w:rPr>
          <w:sz w:val="20"/>
          <w:szCs w:val="20"/>
        </w:rPr>
        <w:t>reference</w:t>
      </w:r>
      <w:r w:rsidR="007B4995" w:rsidRPr="00FC2D31">
        <w:rPr>
          <w:sz w:val="20"/>
          <w:szCs w:val="20"/>
        </w:rPr>
        <w:t xml:space="preserve"> biological products. Therefore, biosimilar are biological medicinal products </w:t>
      </w:r>
      <w:r w:rsidR="00504029" w:rsidRPr="00FC2D31">
        <w:rPr>
          <w:sz w:val="20"/>
          <w:szCs w:val="20"/>
        </w:rPr>
        <w:t>authorized</w:t>
      </w:r>
      <w:r w:rsidR="007B4995" w:rsidRPr="00FC2D31">
        <w:rPr>
          <w:sz w:val="20"/>
          <w:szCs w:val="20"/>
        </w:rPr>
        <w:t xml:space="preserve"> by the </w:t>
      </w:r>
      <w:r w:rsidR="007B4995" w:rsidRPr="00FC2D31">
        <w:rPr>
          <w:i/>
          <w:sz w:val="20"/>
          <w:szCs w:val="20"/>
        </w:rPr>
        <w:t xml:space="preserve">European Medicines Agency </w:t>
      </w:r>
      <w:r w:rsidR="007B4995" w:rsidRPr="00FC2D31">
        <w:rPr>
          <w:sz w:val="20"/>
          <w:szCs w:val="20"/>
        </w:rPr>
        <w:t xml:space="preserve">– EMA, and similar in terms of quality, effectiveness and safety to the reference biological product. The availability of </w:t>
      </w:r>
      <w:r w:rsidR="00290EE2" w:rsidRPr="00FC2D31">
        <w:rPr>
          <w:sz w:val="20"/>
          <w:szCs w:val="20"/>
        </w:rPr>
        <w:t>b</w:t>
      </w:r>
      <w:r w:rsidR="007B4995" w:rsidRPr="00FC2D31">
        <w:rPr>
          <w:sz w:val="20"/>
          <w:szCs w:val="20"/>
        </w:rPr>
        <w:t xml:space="preserve">iosimilars </w:t>
      </w:r>
      <w:r w:rsidR="003413E0" w:rsidRPr="00FC2D31">
        <w:rPr>
          <w:sz w:val="20"/>
          <w:szCs w:val="20"/>
        </w:rPr>
        <w:t>represents</w:t>
      </w:r>
      <w:r w:rsidR="007B4995" w:rsidRPr="00FC2D31">
        <w:rPr>
          <w:sz w:val="20"/>
          <w:szCs w:val="20"/>
        </w:rPr>
        <w:t xml:space="preserve"> an important factor for maintaining the economic sustainability of healthcare services in the near future.</w:t>
      </w:r>
    </w:p>
    <w:p w:rsidR="007B4995" w:rsidRPr="00FC2D31" w:rsidRDefault="007B4995" w:rsidP="007763CF">
      <w:pPr>
        <w:spacing w:line="360" w:lineRule="auto"/>
        <w:rPr>
          <w:sz w:val="20"/>
          <w:szCs w:val="20"/>
        </w:rPr>
      </w:pPr>
    </w:p>
    <w:p w:rsidR="007B4995" w:rsidRPr="00FC2D31" w:rsidRDefault="007B4995" w:rsidP="007763CF">
      <w:pPr>
        <w:spacing w:before="18" w:line="360" w:lineRule="auto"/>
        <w:rPr>
          <w:sz w:val="20"/>
          <w:szCs w:val="20"/>
        </w:rPr>
      </w:pPr>
    </w:p>
    <w:p w:rsidR="007B4995" w:rsidRPr="00FC2D31" w:rsidRDefault="007B4995" w:rsidP="007763CF">
      <w:pPr>
        <w:pStyle w:val="Heading1"/>
        <w:spacing w:line="360" w:lineRule="auto"/>
        <w:ind w:left="113" w:right="4706"/>
        <w:jc w:val="both"/>
        <w:rPr>
          <w:b w:val="0"/>
          <w:sz w:val="20"/>
          <w:szCs w:val="20"/>
        </w:rPr>
      </w:pPr>
      <w:r w:rsidRPr="00FC2D31">
        <w:rPr>
          <w:sz w:val="20"/>
          <w:szCs w:val="20"/>
        </w:rPr>
        <w:t>Biologically derived medicinal products</w:t>
      </w:r>
    </w:p>
    <w:p w:rsidR="007B4995" w:rsidRPr="00FC2D31" w:rsidRDefault="007B4995" w:rsidP="007763CF">
      <w:pPr>
        <w:spacing w:before="6" w:line="360" w:lineRule="auto"/>
        <w:rPr>
          <w:sz w:val="20"/>
          <w:szCs w:val="20"/>
        </w:rPr>
      </w:pPr>
    </w:p>
    <w:p w:rsidR="007B4995" w:rsidRPr="00FC2D31" w:rsidRDefault="007B4995" w:rsidP="007763CF">
      <w:pPr>
        <w:spacing w:line="360" w:lineRule="auto"/>
        <w:rPr>
          <w:sz w:val="20"/>
          <w:szCs w:val="20"/>
        </w:rPr>
      </w:pPr>
    </w:p>
    <w:p w:rsidR="007B4995" w:rsidRPr="00FC2D31" w:rsidRDefault="007B4995" w:rsidP="007763CF">
      <w:pPr>
        <w:pStyle w:val="BodyText"/>
        <w:spacing w:line="360" w:lineRule="auto"/>
        <w:ind w:right="112"/>
        <w:jc w:val="both"/>
        <w:rPr>
          <w:sz w:val="20"/>
          <w:szCs w:val="20"/>
        </w:rPr>
      </w:pPr>
      <w:r w:rsidRPr="00FC2D31">
        <w:rPr>
          <w:sz w:val="20"/>
          <w:szCs w:val="20"/>
        </w:rPr>
        <w:t xml:space="preserve">According to the definition of biological medicinal products produced by </w:t>
      </w:r>
      <w:r w:rsidR="00504029" w:rsidRPr="00FC2D31">
        <w:rPr>
          <w:sz w:val="20"/>
          <w:szCs w:val="20"/>
        </w:rPr>
        <w:t>EMA,</w:t>
      </w:r>
      <w:r w:rsidRPr="00FC2D31">
        <w:rPr>
          <w:sz w:val="20"/>
          <w:szCs w:val="20"/>
        </w:rPr>
        <w:t xml:space="preserve"> "a biological medicinal product contains one or more active principles derived from a biological source. Some of these active principles may already be present in the human organism, for example proteins such as insulin, the growth hormone and erythropoietin. Biological medicinal products are</w:t>
      </w:r>
      <w:r w:rsidR="00C70E11">
        <w:rPr>
          <w:sz w:val="20"/>
          <w:szCs w:val="20"/>
        </w:rPr>
        <w:t xml:space="preserve"> also</w:t>
      </w:r>
      <w:r w:rsidRPr="00FC2D31">
        <w:rPr>
          <w:sz w:val="20"/>
          <w:szCs w:val="20"/>
        </w:rPr>
        <w:t xml:space="preserve"> larger and more complex molecules </w:t>
      </w:r>
      <w:r w:rsidR="00E64FEE" w:rsidRPr="00FC2D31">
        <w:rPr>
          <w:sz w:val="20"/>
          <w:szCs w:val="20"/>
        </w:rPr>
        <w:t>than</w:t>
      </w:r>
      <w:r w:rsidRPr="00FC2D31">
        <w:rPr>
          <w:sz w:val="20"/>
          <w:szCs w:val="20"/>
        </w:rPr>
        <w:t xml:space="preserve"> </w:t>
      </w:r>
      <w:r w:rsidR="00504029" w:rsidRPr="00FC2D31">
        <w:rPr>
          <w:sz w:val="20"/>
          <w:szCs w:val="20"/>
        </w:rPr>
        <w:t>non-biological</w:t>
      </w:r>
      <w:r w:rsidRPr="00FC2D31">
        <w:rPr>
          <w:sz w:val="20"/>
          <w:szCs w:val="20"/>
        </w:rPr>
        <w:t xml:space="preserve"> medicinal products. Only living organisms are capable of reproducing such complexity” (EMA/837505/2011).</w:t>
      </w:r>
    </w:p>
    <w:p w:rsidR="007B4995" w:rsidRPr="00FC2D31" w:rsidRDefault="007B4995" w:rsidP="007763CF">
      <w:pPr>
        <w:spacing w:line="360" w:lineRule="auto"/>
        <w:rPr>
          <w:sz w:val="20"/>
          <w:szCs w:val="20"/>
        </w:rPr>
      </w:pPr>
    </w:p>
    <w:p w:rsidR="007B4995" w:rsidRPr="00FC2D31" w:rsidRDefault="00504029" w:rsidP="007763CF">
      <w:pPr>
        <w:pStyle w:val="BodyText"/>
        <w:spacing w:line="360" w:lineRule="auto"/>
        <w:ind w:right="112"/>
        <w:jc w:val="both"/>
        <w:rPr>
          <w:sz w:val="20"/>
          <w:szCs w:val="20"/>
        </w:rPr>
      </w:pPr>
      <w:r w:rsidRPr="00FC2D31">
        <w:rPr>
          <w:b/>
          <w:sz w:val="20"/>
          <w:szCs w:val="20"/>
        </w:rPr>
        <w:t>Biological medicinal products</w:t>
      </w:r>
      <w:r w:rsidRPr="00FC2D31">
        <w:rPr>
          <w:sz w:val="20"/>
          <w:szCs w:val="20"/>
        </w:rPr>
        <w:t xml:space="preserve">, </w:t>
      </w:r>
      <w:r w:rsidR="00C70E11">
        <w:rPr>
          <w:sz w:val="20"/>
          <w:szCs w:val="20"/>
        </w:rPr>
        <w:t>also including</w:t>
      </w:r>
      <w:r w:rsidRPr="00FC2D31">
        <w:rPr>
          <w:sz w:val="20"/>
          <w:szCs w:val="20"/>
        </w:rPr>
        <w:t xml:space="preserve"> biotechnological products i.e. products obtained through biotechnologies</w:t>
      </w:r>
      <w:r w:rsidR="00C70E11">
        <w:rPr>
          <w:sz w:val="20"/>
          <w:szCs w:val="20"/>
        </w:rPr>
        <w:t>,</w:t>
      </w:r>
      <w:r w:rsidR="00E64FEE" w:rsidRPr="00FC2D31">
        <w:rPr>
          <w:sz w:val="20"/>
          <w:szCs w:val="20"/>
        </w:rPr>
        <w:t xml:space="preserve"> are</w:t>
      </w:r>
      <w:r w:rsidRPr="00FC2D31">
        <w:rPr>
          <w:sz w:val="20"/>
          <w:szCs w:val="20"/>
        </w:rPr>
        <w:t>, therefore</w:t>
      </w:r>
      <w:r w:rsidR="00E64FEE" w:rsidRPr="00FC2D31">
        <w:rPr>
          <w:sz w:val="20"/>
          <w:szCs w:val="20"/>
        </w:rPr>
        <w:t>,</w:t>
      </w:r>
      <w:r w:rsidRPr="00FC2D31">
        <w:rPr>
          <w:sz w:val="20"/>
          <w:szCs w:val="20"/>
        </w:rPr>
        <w:t xml:space="preserve"> medicines whose active principle is represented by a substance produced or extracted from a biological system </w:t>
      </w:r>
      <w:r w:rsidR="00C70E11">
        <w:rPr>
          <w:sz w:val="20"/>
          <w:szCs w:val="20"/>
        </w:rPr>
        <w:t>(s</w:t>
      </w:r>
      <w:r w:rsidRPr="00FC2D31">
        <w:rPr>
          <w:sz w:val="20"/>
          <w:szCs w:val="20"/>
        </w:rPr>
        <w:t>uch products are</w:t>
      </w:r>
      <w:r w:rsidR="007D515F">
        <w:rPr>
          <w:sz w:val="20"/>
          <w:szCs w:val="20"/>
        </w:rPr>
        <w:t>,</w:t>
      </w:r>
      <w:r w:rsidRPr="00FC2D31">
        <w:rPr>
          <w:sz w:val="20"/>
          <w:szCs w:val="20"/>
        </w:rPr>
        <w:t xml:space="preserve"> in their turn</w:t>
      </w:r>
      <w:r w:rsidR="007D515F">
        <w:rPr>
          <w:sz w:val="20"/>
          <w:szCs w:val="20"/>
        </w:rPr>
        <w:t>,</w:t>
      </w:r>
      <w:r w:rsidRPr="00FC2D31">
        <w:rPr>
          <w:sz w:val="20"/>
          <w:szCs w:val="20"/>
        </w:rPr>
        <w:t xml:space="preserve"> defined </w:t>
      </w:r>
      <w:r w:rsidR="007D515F">
        <w:rPr>
          <w:sz w:val="20"/>
          <w:szCs w:val="20"/>
        </w:rPr>
        <w:t xml:space="preserve">as </w:t>
      </w:r>
      <w:r w:rsidRPr="00FC2D31">
        <w:rPr>
          <w:sz w:val="20"/>
          <w:szCs w:val="20"/>
        </w:rPr>
        <w:t>biological medicinal products</w:t>
      </w:r>
      <w:r w:rsidR="00E64FEE" w:rsidRPr="00FC2D31">
        <w:rPr>
          <w:sz w:val="20"/>
          <w:szCs w:val="20"/>
        </w:rPr>
        <w:t>,</w:t>
      </w:r>
      <w:r w:rsidRPr="00FC2D31">
        <w:rPr>
          <w:sz w:val="20"/>
          <w:szCs w:val="20"/>
        </w:rPr>
        <w:t xml:space="preserve"> in the strict </w:t>
      </w:r>
      <w:r w:rsidR="00E64FEE" w:rsidRPr="00FC2D31">
        <w:rPr>
          <w:sz w:val="20"/>
          <w:szCs w:val="20"/>
        </w:rPr>
        <w:t>sense</w:t>
      </w:r>
      <w:r w:rsidRPr="00FC2D31">
        <w:rPr>
          <w:sz w:val="20"/>
          <w:szCs w:val="20"/>
        </w:rPr>
        <w:t xml:space="preserve"> of the term</w:t>
      </w:r>
      <w:r w:rsidR="00C70E11">
        <w:rPr>
          <w:sz w:val="20"/>
          <w:szCs w:val="20"/>
        </w:rPr>
        <w:t>)</w:t>
      </w:r>
      <w:r w:rsidRPr="00FC2D31">
        <w:rPr>
          <w:sz w:val="20"/>
          <w:szCs w:val="20"/>
        </w:rPr>
        <w:t xml:space="preserve"> or a substance derived from a biological source through biotechnological procedures including recombinant DNA technologies, controlled expression of genes coding for biologically active proteins in prokaryotes and eukaryotes, hybridoma and monoclonal antibody methods </w:t>
      </w:r>
      <w:r w:rsidR="00C70E11">
        <w:rPr>
          <w:sz w:val="20"/>
          <w:szCs w:val="20"/>
        </w:rPr>
        <w:t>(</w:t>
      </w:r>
      <w:r w:rsidRPr="00FC2D31">
        <w:rPr>
          <w:sz w:val="20"/>
          <w:szCs w:val="20"/>
        </w:rPr>
        <w:t>or biotechnological products</w:t>
      </w:r>
      <w:r w:rsidR="00C70E11">
        <w:rPr>
          <w:sz w:val="20"/>
          <w:szCs w:val="20"/>
        </w:rPr>
        <w:t>)</w:t>
      </w:r>
      <w:r w:rsidRPr="00FC2D31">
        <w:rPr>
          <w:sz w:val="20"/>
          <w:szCs w:val="20"/>
        </w:rPr>
        <w:t xml:space="preserve"> </w:t>
      </w:r>
      <w:r w:rsidR="00C70E11">
        <w:rPr>
          <w:sz w:val="20"/>
          <w:szCs w:val="20"/>
        </w:rPr>
        <w:t>[</w:t>
      </w:r>
      <w:r w:rsidRPr="00FC2D31">
        <w:rPr>
          <w:sz w:val="20"/>
          <w:szCs w:val="20"/>
        </w:rPr>
        <w:t>Document Ref. EMEA/74562/2006 Rev. 1</w:t>
      </w:r>
      <w:r w:rsidR="00C70E11">
        <w:rPr>
          <w:sz w:val="20"/>
          <w:szCs w:val="20"/>
        </w:rPr>
        <w:t>]</w:t>
      </w:r>
      <w:r w:rsidRPr="00FC2D31">
        <w:rPr>
          <w:sz w:val="20"/>
          <w:szCs w:val="20"/>
        </w:rPr>
        <w:t xml:space="preserve">. </w:t>
      </w:r>
      <w:r w:rsidR="007B4995" w:rsidRPr="00FC2D31">
        <w:rPr>
          <w:sz w:val="20"/>
          <w:szCs w:val="20"/>
        </w:rPr>
        <w:t xml:space="preserve">Products such as hormones and enzymes, blood derived products and immunological medicines such as serums and vaccines, immunoglobulins and allergens or monoclonal antibody belong to the category of biological </w:t>
      </w:r>
      <w:r w:rsidR="00C70E11">
        <w:rPr>
          <w:sz w:val="20"/>
          <w:szCs w:val="20"/>
        </w:rPr>
        <w:t>medicinal</w:t>
      </w:r>
      <w:r w:rsidR="007B4995" w:rsidRPr="00FC2D31">
        <w:rPr>
          <w:sz w:val="20"/>
          <w:szCs w:val="20"/>
        </w:rPr>
        <w:t xml:space="preserve"> products.</w:t>
      </w:r>
    </w:p>
    <w:p w:rsidR="007B4995" w:rsidRPr="00FC2D31" w:rsidRDefault="007B4995" w:rsidP="007763CF">
      <w:pPr>
        <w:spacing w:before="10" w:line="360" w:lineRule="auto"/>
        <w:rPr>
          <w:sz w:val="20"/>
          <w:szCs w:val="20"/>
        </w:rPr>
      </w:pPr>
    </w:p>
    <w:p w:rsidR="007B4995" w:rsidRPr="00FC2D31" w:rsidRDefault="007D515F" w:rsidP="007763CF">
      <w:pPr>
        <w:pStyle w:val="BodyText"/>
        <w:spacing w:line="360" w:lineRule="auto"/>
        <w:ind w:right="112"/>
        <w:jc w:val="both"/>
        <w:rPr>
          <w:sz w:val="20"/>
          <w:szCs w:val="20"/>
        </w:rPr>
      </w:pPr>
      <w:r>
        <w:rPr>
          <w:sz w:val="20"/>
          <w:szCs w:val="20"/>
        </w:rPr>
        <w:t>M</w:t>
      </w:r>
      <w:r w:rsidR="007B4995" w:rsidRPr="00FC2D31">
        <w:rPr>
          <w:sz w:val="20"/>
          <w:szCs w:val="20"/>
        </w:rPr>
        <w:t xml:space="preserve">edicinal products synthesized by biotechnological methods differ in many respects from active principles synthesized </w:t>
      </w:r>
      <w:r w:rsidR="00C70E11">
        <w:rPr>
          <w:sz w:val="20"/>
          <w:szCs w:val="20"/>
        </w:rPr>
        <w:t>by</w:t>
      </w:r>
      <w:r w:rsidR="007B4995" w:rsidRPr="00FC2D31">
        <w:rPr>
          <w:sz w:val="20"/>
          <w:szCs w:val="20"/>
        </w:rPr>
        <w:t xml:space="preserve"> traditional chemical pharmaceutical methods</w:t>
      </w:r>
      <w:r w:rsidR="00E64FEE" w:rsidRPr="00FC2D31">
        <w:rPr>
          <w:sz w:val="20"/>
          <w:szCs w:val="20"/>
        </w:rPr>
        <w:t>:</w:t>
      </w:r>
      <w:r w:rsidR="007B4995" w:rsidRPr="00FC2D31">
        <w:rPr>
          <w:sz w:val="20"/>
          <w:szCs w:val="20"/>
        </w:rPr>
        <w:t xml:space="preserve"> </w:t>
      </w:r>
      <w:r w:rsidR="00C70E11">
        <w:rPr>
          <w:sz w:val="20"/>
          <w:szCs w:val="20"/>
        </w:rPr>
        <w:t>i.e.</w:t>
      </w:r>
      <w:r w:rsidR="00E64FEE" w:rsidRPr="00FC2D31">
        <w:rPr>
          <w:sz w:val="20"/>
          <w:szCs w:val="20"/>
        </w:rPr>
        <w:t xml:space="preserve"> </w:t>
      </w:r>
      <w:r w:rsidR="007B4995" w:rsidRPr="00FC2D31">
        <w:rPr>
          <w:sz w:val="20"/>
          <w:szCs w:val="20"/>
        </w:rPr>
        <w:t>molecular size, structural complexity, the stability of the final product and the possibility of various significant co- and post-translational modifications (for example, in the glycosylation profile</w:t>
      </w:r>
      <w:r w:rsidR="00E64FEE" w:rsidRPr="00FC2D31">
        <w:rPr>
          <w:sz w:val="20"/>
          <w:szCs w:val="20"/>
        </w:rPr>
        <w:t>)</w:t>
      </w:r>
      <w:r w:rsidR="007B4995" w:rsidRPr="00FC2D31">
        <w:rPr>
          <w:sz w:val="20"/>
          <w:szCs w:val="20"/>
        </w:rPr>
        <w:t>. In addition, while traditional medicinal products</w:t>
      </w:r>
      <w:r w:rsidR="00E64FEE" w:rsidRPr="00FC2D31">
        <w:rPr>
          <w:sz w:val="20"/>
          <w:szCs w:val="20"/>
        </w:rPr>
        <w:t>,</w:t>
      </w:r>
      <w:r w:rsidR="007B4995" w:rsidRPr="00FC2D31">
        <w:rPr>
          <w:sz w:val="20"/>
          <w:szCs w:val="20"/>
        </w:rPr>
        <w:t xml:space="preserve"> </w:t>
      </w:r>
      <w:r>
        <w:rPr>
          <w:sz w:val="20"/>
          <w:szCs w:val="20"/>
        </w:rPr>
        <w:t>characterized by having</w:t>
      </w:r>
      <w:r w:rsidR="007B4995" w:rsidRPr="00FC2D31">
        <w:rPr>
          <w:sz w:val="20"/>
          <w:szCs w:val="20"/>
        </w:rPr>
        <w:t xml:space="preserve"> small molecules</w:t>
      </w:r>
      <w:r w:rsidR="00723D32">
        <w:rPr>
          <w:sz w:val="20"/>
          <w:szCs w:val="20"/>
        </w:rPr>
        <w:t>,</w:t>
      </w:r>
      <w:r w:rsidR="007B4995" w:rsidRPr="00FC2D31">
        <w:rPr>
          <w:sz w:val="20"/>
          <w:szCs w:val="20"/>
        </w:rPr>
        <w:t xml:space="preserve"> are produced through chemical synthesis, the greater part of bi</w:t>
      </w:r>
      <w:r w:rsidR="00E64FEE" w:rsidRPr="00FC2D31">
        <w:rPr>
          <w:sz w:val="20"/>
          <w:szCs w:val="20"/>
        </w:rPr>
        <w:t xml:space="preserve">ological medicinal products, </w:t>
      </w:r>
      <w:r w:rsidR="00CD3055">
        <w:rPr>
          <w:sz w:val="20"/>
          <w:szCs w:val="20"/>
        </w:rPr>
        <w:t>because</w:t>
      </w:r>
      <w:r w:rsidR="007B4995" w:rsidRPr="00FC2D31">
        <w:rPr>
          <w:sz w:val="20"/>
          <w:szCs w:val="20"/>
        </w:rPr>
        <w:t xml:space="preserve"> produced using biotechnologies </w:t>
      </w:r>
      <w:r w:rsidR="00E64FEE" w:rsidRPr="00FC2D31">
        <w:rPr>
          <w:sz w:val="20"/>
          <w:szCs w:val="20"/>
        </w:rPr>
        <w:t>that</w:t>
      </w:r>
      <w:r w:rsidR="007B4995" w:rsidRPr="00FC2D31">
        <w:rPr>
          <w:sz w:val="20"/>
          <w:szCs w:val="20"/>
        </w:rPr>
        <w:t xml:space="preserve"> operate on living systems (micro organisms or animal cells) </w:t>
      </w:r>
      <w:r w:rsidR="00CD3055">
        <w:rPr>
          <w:sz w:val="20"/>
          <w:szCs w:val="20"/>
        </w:rPr>
        <w:t>acquire</w:t>
      </w:r>
      <w:r w:rsidR="003A0EC7">
        <w:rPr>
          <w:sz w:val="20"/>
          <w:szCs w:val="20"/>
        </w:rPr>
        <w:t xml:space="preserve"> very </w:t>
      </w:r>
      <w:r w:rsidR="003413E0">
        <w:rPr>
          <w:sz w:val="20"/>
          <w:szCs w:val="20"/>
        </w:rPr>
        <w:t>heterogeneous</w:t>
      </w:r>
      <w:r w:rsidR="007B4995" w:rsidRPr="00FC2D31">
        <w:rPr>
          <w:sz w:val="20"/>
          <w:szCs w:val="20"/>
        </w:rPr>
        <w:t xml:space="preserve"> </w:t>
      </w:r>
      <w:r w:rsidR="003A0EC7">
        <w:rPr>
          <w:sz w:val="20"/>
          <w:szCs w:val="20"/>
        </w:rPr>
        <w:t xml:space="preserve">features </w:t>
      </w:r>
      <w:r w:rsidR="00CD3055">
        <w:rPr>
          <w:sz w:val="20"/>
          <w:szCs w:val="20"/>
        </w:rPr>
        <w:t>as a consequence of</w:t>
      </w:r>
      <w:r w:rsidR="003A0EC7">
        <w:rPr>
          <w:sz w:val="20"/>
          <w:szCs w:val="20"/>
        </w:rPr>
        <w:t xml:space="preserve"> </w:t>
      </w:r>
      <w:r w:rsidR="007B4995" w:rsidRPr="00FC2D31">
        <w:rPr>
          <w:sz w:val="20"/>
          <w:szCs w:val="20"/>
        </w:rPr>
        <w:t>the host cell used, the plasmids deployed</w:t>
      </w:r>
      <w:r w:rsidR="00CD3055">
        <w:rPr>
          <w:sz w:val="20"/>
          <w:szCs w:val="20"/>
        </w:rPr>
        <w:t xml:space="preserve"> for transfecting the host cell </w:t>
      </w:r>
      <w:r>
        <w:rPr>
          <w:sz w:val="20"/>
          <w:szCs w:val="20"/>
        </w:rPr>
        <w:t>and</w:t>
      </w:r>
      <w:r w:rsidR="007B4995" w:rsidRPr="00FC2D31">
        <w:rPr>
          <w:sz w:val="20"/>
          <w:szCs w:val="20"/>
        </w:rPr>
        <w:t xml:space="preserve"> transferring the gene needed to </w:t>
      </w:r>
      <w:r w:rsidR="008A76C4">
        <w:rPr>
          <w:sz w:val="20"/>
          <w:szCs w:val="20"/>
        </w:rPr>
        <w:t>produce</w:t>
      </w:r>
      <w:r w:rsidR="007B4995" w:rsidRPr="00FC2D31">
        <w:rPr>
          <w:sz w:val="20"/>
          <w:szCs w:val="20"/>
        </w:rPr>
        <w:t xml:space="preserve"> the protein required, as well as growth and fermentation conditions and different purification methods. All these materials and procedures introduce elements of differentiation</w:t>
      </w:r>
      <w:r w:rsidR="00CD3055">
        <w:rPr>
          <w:sz w:val="20"/>
          <w:szCs w:val="20"/>
        </w:rPr>
        <w:t>,</w:t>
      </w:r>
      <w:r w:rsidR="007B4995" w:rsidRPr="00FC2D31">
        <w:rPr>
          <w:sz w:val="20"/>
          <w:szCs w:val="20"/>
        </w:rPr>
        <w:t xml:space="preserve"> and </w:t>
      </w:r>
      <w:r w:rsidR="008A76C4">
        <w:rPr>
          <w:sz w:val="20"/>
          <w:szCs w:val="20"/>
        </w:rPr>
        <w:t xml:space="preserve">as they </w:t>
      </w:r>
      <w:r w:rsidR="007B4995" w:rsidRPr="00FC2D31">
        <w:rPr>
          <w:sz w:val="20"/>
          <w:szCs w:val="20"/>
        </w:rPr>
        <w:t xml:space="preserve">are </w:t>
      </w:r>
      <w:r w:rsidR="003413E0" w:rsidRPr="00FC2D31">
        <w:rPr>
          <w:sz w:val="20"/>
          <w:szCs w:val="20"/>
        </w:rPr>
        <w:t>not immediately</w:t>
      </w:r>
      <w:r w:rsidR="007B4995" w:rsidRPr="00FC2D31">
        <w:rPr>
          <w:sz w:val="20"/>
          <w:szCs w:val="20"/>
        </w:rPr>
        <w:t xml:space="preserve"> transferable from one laboratory to another </w:t>
      </w:r>
      <w:r w:rsidR="008A76C4">
        <w:rPr>
          <w:sz w:val="20"/>
          <w:szCs w:val="20"/>
        </w:rPr>
        <w:t>they contribute towards</w:t>
      </w:r>
      <w:r w:rsidR="007B4995" w:rsidRPr="00FC2D31">
        <w:rPr>
          <w:sz w:val="20"/>
          <w:szCs w:val="20"/>
        </w:rPr>
        <w:t xml:space="preserve"> </w:t>
      </w:r>
      <w:r w:rsidR="008A76C4">
        <w:rPr>
          <w:sz w:val="20"/>
          <w:szCs w:val="20"/>
        </w:rPr>
        <w:t>the determination of the product’s</w:t>
      </w:r>
      <w:r w:rsidR="007B4995" w:rsidRPr="00FC2D31">
        <w:rPr>
          <w:sz w:val="20"/>
          <w:szCs w:val="20"/>
        </w:rPr>
        <w:t xml:space="preserve"> uniqueness. The production process of these medicinal products is so highly distinctive that it can be said </w:t>
      </w:r>
      <w:r>
        <w:rPr>
          <w:sz w:val="20"/>
          <w:szCs w:val="20"/>
        </w:rPr>
        <w:t xml:space="preserve">that </w:t>
      </w:r>
      <w:r w:rsidR="007B4995" w:rsidRPr="00FC2D31">
        <w:rPr>
          <w:sz w:val="20"/>
          <w:szCs w:val="20"/>
        </w:rPr>
        <w:t>"the product is the production process" (Karson KL., Nature Biotecnol, 2005).</w:t>
      </w:r>
    </w:p>
    <w:p w:rsidR="007B4995" w:rsidRPr="00FC2D31" w:rsidRDefault="007B4995" w:rsidP="007763CF">
      <w:pPr>
        <w:spacing w:before="9" w:line="360" w:lineRule="auto"/>
        <w:rPr>
          <w:sz w:val="20"/>
          <w:szCs w:val="20"/>
        </w:rPr>
      </w:pPr>
    </w:p>
    <w:p w:rsidR="007B4995" w:rsidRPr="00FC2D31" w:rsidRDefault="007B4995" w:rsidP="007763CF">
      <w:pPr>
        <w:pStyle w:val="BodyText"/>
        <w:spacing w:line="360" w:lineRule="auto"/>
        <w:ind w:right="112"/>
        <w:jc w:val="both"/>
        <w:rPr>
          <w:sz w:val="20"/>
          <w:szCs w:val="20"/>
        </w:rPr>
      </w:pPr>
      <w:r w:rsidRPr="00FC2D31">
        <w:rPr>
          <w:sz w:val="20"/>
          <w:szCs w:val="20"/>
        </w:rPr>
        <w:t xml:space="preserve">The molecular structure and the production process of biological products play an important role in determining </w:t>
      </w:r>
      <w:r w:rsidR="008A76C4">
        <w:rPr>
          <w:sz w:val="20"/>
          <w:szCs w:val="20"/>
        </w:rPr>
        <w:t>their</w:t>
      </w:r>
      <w:r w:rsidRPr="00FC2D31">
        <w:rPr>
          <w:sz w:val="20"/>
          <w:szCs w:val="20"/>
        </w:rPr>
        <w:t xml:space="preserve"> immunogenetic potential. In point of </w:t>
      </w:r>
      <w:r w:rsidR="00504029" w:rsidRPr="00FC2D31">
        <w:rPr>
          <w:sz w:val="20"/>
          <w:szCs w:val="20"/>
        </w:rPr>
        <w:t>fact,</w:t>
      </w:r>
      <w:r w:rsidRPr="00FC2D31">
        <w:rPr>
          <w:sz w:val="20"/>
          <w:szCs w:val="20"/>
        </w:rPr>
        <w:t xml:space="preserve"> an additional and fundamental characteristic of biological products is </w:t>
      </w:r>
      <w:r w:rsidR="008A76C4">
        <w:rPr>
          <w:sz w:val="20"/>
          <w:szCs w:val="20"/>
        </w:rPr>
        <w:t>their</w:t>
      </w:r>
      <w:r w:rsidRPr="00FC2D31">
        <w:rPr>
          <w:sz w:val="20"/>
          <w:szCs w:val="20"/>
        </w:rPr>
        <w:t xml:space="preserve"> immunogenicity, defined as the capacity to induce </w:t>
      </w:r>
      <w:r w:rsidR="00504029" w:rsidRPr="00FC2D31">
        <w:rPr>
          <w:sz w:val="20"/>
          <w:szCs w:val="20"/>
        </w:rPr>
        <w:t>an</w:t>
      </w:r>
      <w:r w:rsidRPr="00FC2D31">
        <w:rPr>
          <w:sz w:val="20"/>
          <w:szCs w:val="20"/>
        </w:rPr>
        <w:t xml:space="preserve"> immune response in an organism. These molecules possess the potentiality of being </w:t>
      </w:r>
      <w:r w:rsidR="00504029" w:rsidRPr="00FC2D31">
        <w:rPr>
          <w:sz w:val="20"/>
          <w:szCs w:val="20"/>
        </w:rPr>
        <w:t>recognized</w:t>
      </w:r>
      <w:r w:rsidRPr="00FC2D31">
        <w:rPr>
          <w:sz w:val="20"/>
          <w:szCs w:val="20"/>
        </w:rPr>
        <w:t xml:space="preserve"> as  “</w:t>
      </w:r>
      <w:r w:rsidRPr="00FC2D31">
        <w:rPr>
          <w:rFonts w:cs="Calibri"/>
          <w:i/>
          <w:sz w:val="20"/>
          <w:szCs w:val="20"/>
        </w:rPr>
        <w:t>non-self</w:t>
      </w:r>
      <w:r w:rsidRPr="00FC2D31">
        <w:rPr>
          <w:sz w:val="20"/>
          <w:szCs w:val="20"/>
        </w:rPr>
        <w:t xml:space="preserve">” by the patient's organism and, in some cases, </w:t>
      </w:r>
      <w:r w:rsidR="008A76C4">
        <w:rPr>
          <w:sz w:val="20"/>
          <w:szCs w:val="20"/>
        </w:rPr>
        <w:t xml:space="preserve">can be </w:t>
      </w:r>
      <w:r w:rsidR="00504029" w:rsidRPr="00FC2D31">
        <w:rPr>
          <w:sz w:val="20"/>
          <w:szCs w:val="20"/>
        </w:rPr>
        <w:lastRenderedPageBreak/>
        <w:t>neutralized</w:t>
      </w:r>
      <w:r w:rsidRPr="00FC2D31">
        <w:rPr>
          <w:sz w:val="20"/>
          <w:szCs w:val="20"/>
        </w:rPr>
        <w:t xml:space="preserve"> by their own effect, thereby diminishing </w:t>
      </w:r>
      <w:r w:rsidR="00A41424">
        <w:rPr>
          <w:sz w:val="20"/>
          <w:szCs w:val="20"/>
        </w:rPr>
        <w:t>a</w:t>
      </w:r>
      <w:r w:rsidRPr="00FC2D31">
        <w:rPr>
          <w:sz w:val="20"/>
          <w:szCs w:val="20"/>
        </w:rPr>
        <w:t xml:space="preserve"> </w:t>
      </w:r>
      <w:r w:rsidR="006F5D42" w:rsidRPr="00FC2D31">
        <w:rPr>
          <w:sz w:val="20"/>
          <w:szCs w:val="20"/>
        </w:rPr>
        <w:t>therapy</w:t>
      </w:r>
      <w:r w:rsidR="006F5D42">
        <w:rPr>
          <w:sz w:val="20"/>
          <w:szCs w:val="20"/>
        </w:rPr>
        <w:t>’s</w:t>
      </w:r>
      <w:r w:rsidR="006F5D42" w:rsidRPr="00FC2D31">
        <w:rPr>
          <w:sz w:val="20"/>
          <w:szCs w:val="20"/>
        </w:rPr>
        <w:t xml:space="preserve"> effectiveness</w:t>
      </w:r>
      <w:r w:rsidRPr="00FC2D31">
        <w:rPr>
          <w:sz w:val="20"/>
          <w:szCs w:val="20"/>
        </w:rPr>
        <w:t xml:space="preserve">. In the case, for example, of vaccines </w:t>
      </w:r>
      <w:r w:rsidR="00504029" w:rsidRPr="00FC2D31">
        <w:rPr>
          <w:sz w:val="20"/>
          <w:szCs w:val="20"/>
        </w:rPr>
        <w:t>immunogenicity</w:t>
      </w:r>
      <w:r w:rsidRPr="00FC2D31">
        <w:rPr>
          <w:sz w:val="20"/>
          <w:szCs w:val="20"/>
        </w:rPr>
        <w:t xml:space="preserve">, on the contrary, </w:t>
      </w:r>
      <w:r w:rsidR="00504029" w:rsidRPr="00FC2D31">
        <w:rPr>
          <w:sz w:val="20"/>
          <w:szCs w:val="20"/>
        </w:rPr>
        <w:t>represents</w:t>
      </w:r>
      <w:r w:rsidRPr="00FC2D31">
        <w:rPr>
          <w:sz w:val="20"/>
          <w:szCs w:val="20"/>
        </w:rPr>
        <w:t xml:space="preserve"> the basis of the therapeutic strategy by inducing an immune response in order to </w:t>
      </w:r>
      <w:r w:rsidR="00504029" w:rsidRPr="00FC2D31">
        <w:rPr>
          <w:sz w:val="20"/>
          <w:szCs w:val="20"/>
        </w:rPr>
        <w:t>recognize</w:t>
      </w:r>
      <w:r w:rsidRPr="00FC2D31">
        <w:rPr>
          <w:sz w:val="20"/>
          <w:szCs w:val="20"/>
        </w:rPr>
        <w:t xml:space="preserve"> and combat the substance for which the vaccine is </w:t>
      </w:r>
      <w:r w:rsidR="008A76C4">
        <w:rPr>
          <w:sz w:val="20"/>
          <w:szCs w:val="20"/>
        </w:rPr>
        <w:t>designed</w:t>
      </w:r>
      <w:r w:rsidRPr="00FC2D31">
        <w:rPr>
          <w:sz w:val="20"/>
          <w:szCs w:val="20"/>
        </w:rPr>
        <w:t xml:space="preserve">. The larger part of undesired immune responses induced by the </w:t>
      </w:r>
      <w:r w:rsidR="00504029" w:rsidRPr="00FC2D31">
        <w:rPr>
          <w:sz w:val="20"/>
          <w:szCs w:val="20"/>
        </w:rPr>
        <w:t>immunogenicity</w:t>
      </w:r>
      <w:r w:rsidRPr="00FC2D31">
        <w:rPr>
          <w:sz w:val="20"/>
          <w:szCs w:val="20"/>
        </w:rPr>
        <w:t xml:space="preserve"> of biological products are moderate and do not produce negative effects in patients. In rare cases, however, immune responses </w:t>
      </w:r>
      <w:r w:rsidR="008A76C4">
        <w:rPr>
          <w:sz w:val="20"/>
          <w:szCs w:val="20"/>
        </w:rPr>
        <w:t xml:space="preserve">may </w:t>
      </w:r>
      <w:r w:rsidRPr="00FC2D31">
        <w:rPr>
          <w:sz w:val="20"/>
          <w:szCs w:val="20"/>
        </w:rPr>
        <w:t>lead to serious noxious effects detrimental to a patient's health and safety.</w:t>
      </w:r>
    </w:p>
    <w:p w:rsidR="007B4995" w:rsidRPr="00FC2D31" w:rsidRDefault="007B4995" w:rsidP="007763CF">
      <w:pPr>
        <w:pStyle w:val="BodyText"/>
        <w:spacing w:line="360" w:lineRule="auto"/>
        <w:ind w:right="113"/>
        <w:jc w:val="both"/>
        <w:rPr>
          <w:color w:val="000000"/>
          <w:sz w:val="20"/>
          <w:szCs w:val="20"/>
        </w:rPr>
      </w:pPr>
      <w:r w:rsidRPr="00FC2D31">
        <w:rPr>
          <w:sz w:val="20"/>
          <w:szCs w:val="20"/>
        </w:rPr>
        <w:t xml:space="preserve">The foregoing clearly illustrates that biological </w:t>
      </w:r>
      <w:r w:rsidR="00504029" w:rsidRPr="00FC2D31">
        <w:rPr>
          <w:sz w:val="20"/>
          <w:szCs w:val="20"/>
        </w:rPr>
        <w:t>medicinal</w:t>
      </w:r>
      <w:r w:rsidRPr="00FC2D31">
        <w:rPr>
          <w:sz w:val="20"/>
          <w:szCs w:val="20"/>
        </w:rPr>
        <w:t xml:space="preserve"> products, on account of the intrinsic </w:t>
      </w:r>
      <w:r w:rsidR="00504029" w:rsidRPr="00FC2D31">
        <w:rPr>
          <w:sz w:val="20"/>
          <w:szCs w:val="20"/>
        </w:rPr>
        <w:t>variability</w:t>
      </w:r>
      <w:r w:rsidRPr="00FC2D31">
        <w:rPr>
          <w:sz w:val="20"/>
          <w:szCs w:val="20"/>
        </w:rPr>
        <w:t xml:space="preserve"> of the molecule and</w:t>
      </w:r>
      <w:r w:rsidR="008A76C4">
        <w:rPr>
          <w:sz w:val="20"/>
          <w:szCs w:val="20"/>
        </w:rPr>
        <w:t xml:space="preserve"> t</w:t>
      </w:r>
      <w:r w:rsidR="00504029" w:rsidRPr="00FC2D31">
        <w:rPr>
          <w:sz w:val="20"/>
          <w:szCs w:val="20"/>
        </w:rPr>
        <w:t>he</w:t>
      </w:r>
      <w:r w:rsidRPr="00FC2D31">
        <w:rPr>
          <w:sz w:val="20"/>
          <w:szCs w:val="20"/>
        </w:rPr>
        <w:t xml:space="preserve"> complexity of the production techniques, are extremely difficult to </w:t>
      </w:r>
      <w:r w:rsidR="00504029" w:rsidRPr="00FC2D31">
        <w:rPr>
          <w:sz w:val="20"/>
          <w:szCs w:val="20"/>
        </w:rPr>
        <w:t>characterize</w:t>
      </w:r>
      <w:r w:rsidRPr="00FC2D31">
        <w:rPr>
          <w:sz w:val="20"/>
          <w:szCs w:val="20"/>
        </w:rPr>
        <w:t xml:space="preserve"> and reproduce</w:t>
      </w:r>
      <w:r w:rsidR="008A76C4">
        <w:rPr>
          <w:sz w:val="20"/>
          <w:szCs w:val="20"/>
        </w:rPr>
        <w:t>.</w:t>
      </w:r>
      <w:r w:rsidRPr="00FC2D31">
        <w:rPr>
          <w:sz w:val="20"/>
          <w:szCs w:val="20"/>
        </w:rPr>
        <w:t xml:space="preserve"> </w:t>
      </w:r>
      <w:r w:rsidR="008A76C4">
        <w:rPr>
          <w:color w:val="131313"/>
          <w:sz w:val="20"/>
          <w:szCs w:val="20"/>
        </w:rPr>
        <w:t>So much so, in fact, that</w:t>
      </w:r>
      <w:r w:rsidRPr="00FC2D31">
        <w:rPr>
          <w:color w:val="131313"/>
          <w:sz w:val="20"/>
          <w:szCs w:val="20"/>
        </w:rPr>
        <w:t xml:space="preserve"> </w:t>
      </w:r>
      <w:r w:rsidRPr="00FC2D31">
        <w:rPr>
          <w:color w:val="000000"/>
          <w:sz w:val="20"/>
          <w:szCs w:val="20"/>
        </w:rPr>
        <w:t xml:space="preserve"> some differences may exist as between the various batches of the same product, especially if changes take place in production conditions. Therefore, for the</w:t>
      </w:r>
      <w:r w:rsidR="008A3341">
        <w:rPr>
          <w:color w:val="000000"/>
          <w:sz w:val="20"/>
          <w:szCs w:val="20"/>
        </w:rPr>
        <w:t>ir</w:t>
      </w:r>
      <w:r w:rsidRPr="00FC2D31">
        <w:rPr>
          <w:color w:val="000000"/>
          <w:sz w:val="20"/>
          <w:szCs w:val="20"/>
        </w:rPr>
        <w:t xml:space="preserve"> </w:t>
      </w:r>
      <w:r w:rsidR="00504029" w:rsidRPr="00FC2D31">
        <w:rPr>
          <w:color w:val="000000"/>
          <w:sz w:val="20"/>
          <w:szCs w:val="20"/>
        </w:rPr>
        <w:t>characterization</w:t>
      </w:r>
      <w:r w:rsidRPr="00FC2D31">
        <w:rPr>
          <w:color w:val="000000"/>
          <w:sz w:val="20"/>
          <w:szCs w:val="20"/>
        </w:rPr>
        <w:t xml:space="preserve"> </w:t>
      </w:r>
      <w:r w:rsidR="008A3341">
        <w:rPr>
          <w:color w:val="000000"/>
          <w:sz w:val="20"/>
          <w:szCs w:val="20"/>
        </w:rPr>
        <w:t>as also for</w:t>
      </w:r>
      <w:r w:rsidRPr="00FC2D31">
        <w:rPr>
          <w:color w:val="000000"/>
          <w:sz w:val="20"/>
          <w:szCs w:val="20"/>
        </w:rPr>
        <w:t xml:space="preserve"> </w:t>
      </w:r>
      <w:r w:rsidR="00A41424">
        <w:rPr>
          <w:color w:val="000000"/>
          <w:sz w:val="20"/>
          <w:szCs w:val="20"/>
        </w:rPr>
        <w:t xml:space="preserve">the </w:t>
      </w:r>
      <w:r w:rsidRPr="00FC2D31">
        <w:rPr>
          <w:color w:val="000000"/>
          <w:sz w:val="20"/>
          <w:szCs w:val="20"/>
        </w:rPr>
        <w:t xml:space="preserve">quality and safety controls </w:t>
      </w:r>
      <w:r w:rsidR="008A3341">
        <w:rPr>
          <w:color w:val="000000"/>
          <w:sz w:val="20"/>
          <w:szCs w:val="20"/>
        </w:rPr>
        <w:t>upon them</w:t>
      </w:r>
      <w:r w:rsidRPr="00FC2D31">
        <w:rPr>
          <w:color w:val="000000"/>
          <w:sz w:val="20"/>
          <w:szCs w:val="20"/>
        </w:rPr>
        <w:t>, the regulatory authorities require not only biological physical and chemical examinations but also specific data on the production process and the immunogenetic potential and safety problems that may derive from it</w:t>
      </w:r>
      <w:r w:rsidR="008A3341">
        <w:rPr>
          <w:color w:val="000000"/>
          <w:sz w:val="20"/>
          <w:szCs w:val="20"/>
        </w:rPr>
        <w:t>. In addition, they also</w:t>
      </w:r>
      <w:r w:rsidRPr="00FC2D31">
        <w:rPr>
          <w:color w:val="000000"/>
          <w:sz w:val="20"/>
          <w:szCs w:val="20"/>
        </w:rPr>
        <w:t xml:space="preserve"> carry out </w:t>
      </w:r>
      <w:r w:rsidR="00504029" w:rsidRPr="00FC2D31">
        <w:rPr>
          <w:color w:val="000000"/>
          <w:sz w:val="20"/>
          <w:szCs w:val="20"/>
        </w:rPr>
        <w:t>rigorous</w:t>
      </w:r>
      <w:r w:rsidRPr="00FC2D31">
        <w:rPr>
          <w:color w:val="000000"/>
          <w:sz w:val="20"/>
          <w:szCs w:val="20"/>
        </w:rPr>
        <w:t xml:space="preserve"> controls to guarantee that every process of the production and distribution phase of these medicinal products </w:t>
      </w:r>
      <w:r w:rsidR="006F5D42" w:rsidRPr="00FC2D31">
        <w:rPr>
          <w:color w:val="000000"/>
          <w:sz w:val="20"/>
          <w:szCs w:val="20"/>
        </w:rPr>
        <w:t>is</w:t>
      </w:r>
      <w:r w:rsidRPr="00FC2D31">
        <w:rPr>
          <w:color w:val="000000"/>
          <w:sz w:val="20"/>
          <w:szCs w:val="20"/>
        </w:rPr>
        <w:t xml:space="preserve"> carried out in compliance with specific </w:t>
      </w:r>
      <w:r w:rsidR="00A41424">
        <w:rPr>
          <w:color w:val="000000"/>
          <w:sz w:val="20"/>
          <w:szCs w:val="20"/>
        </w:rPr>
        <w:t xml:space="preserve"> and mandatory </w:t>
      </w:r>
      <w:r w:rsidRPr="00FC2D31">
        <w:rPr>
          <w:color w:val="000000"/>
          <w:sz w:val="20"/>
          <w:szCs w:val="20"/>
        </w:rPr>
        <w:t>guidelines.</w:t>
      </w:r>
    </w:p>
    <w:p w:rsidR="007B4995" w:rsidRPr="00FC2D31" w:rsidRDefault="007B4995" w:rsidP="007763CF">
      <w:pPr>
        <w:spacing w:before="10" w:line="360" w:lineRule="auto"/>
        <w:rPr>
          <w:color w:val="000000"/>
          <w:sz w:val="20"/>
          <w:szCs w:val="20"/>
        </w:rPr>
      </w:pPr>
    </w:p>
    <w:p w:rsidR="007B4995" w:rsidRPr="00FC2D31" w:rsidRDefault="007B4995" w:rsidP="007763CF">
      <w:pPr>
        <w:spacing w:line="360" w:lineRule="auto"/>
        <w:rPr>
          <w:color w:val="000000"/>
          <w:sz w:val="20"/>
          <w:szCs w:val="20"/>
        </w:rPr>
      </w:pPr>
    </w:p>
    <w:p w:rsidR="007B4995" w:rsidRPr="00FC2D31" w:rsidRDefault="007B4995" w:rsidP="007763CF">
      <w:pPr>
        <w:pStyle w:val="Heading1"/>
        <w:spacing w:line="360" w:lineRule="auto"/>
        <w:ind w:left="113" w:right="5557"/>
        <w:jc w:val="both"/>
        <w:rPr>
          <w:b w:val="0"/>
          <w:sz w:val="20"/>
          <w:szCs w:val="20"/>
        </w:rPr>
      </w:pPr>
      <w:r w:rsidRPr="00FC2D31">
        <w:rPr>
          <w:sz w:val="20"/>
          <w:szCs w:val="20"/>
        </w:rPr>
        <w:t>Biosimilar Medicinal Products</w:t>
      </w:r>
    </w:p>
    <w:p w:rsidR="007B4995" w:rsidRPr="00FC2D31" w:rsidRDefault="007B4995" w:rsidP="007763CF">
      <w:pPr>
        <w:spacing w:before="6" w:line="360" w:lineRule="auto"/>
        <w:rPr>
          <w:sz w:val="20"/>
          <w:szCs w:val="20"/>
        </w:rPr>
      </w:pPr>
    </w:p>
    <w:p w:rsidR="007B4995" w:rsidRPr="00FC2D31" w:rsidRDefault="007B4995" w:rsidP="007763CF">
      <w:pPr>
        <w:pStyle w:val="BodyText"/>
        <w:spacing w:line="360" w:lineRule="auto"/>
        <w:ind w:right="112"/>
        <w:jc w:val="both"/>
        <w:rPr>
          <w:sz w:val="20"/>
          <w:szCs w:val="20"/>
        </w:rPr>
      </w:pPr>
      <w:r w:rsidRPr="00FC2D31">
        <w:rPr>
          <w:sz w:val="20"/>
          <w:szCs w:val="20"/>
        </w:rPr>
        <w:t xml:space="preserve">The term "biosimilar" is used to indicate a medicinal product similar to a reference biological product whose use is already </w:t>
      </w:r>
      <w:r w:rsidR="00504029" w:rsidRPr="00FC2D31">
        <w:rPr>
          <w:sz w:val="20"/>
          <w:szCs w:val="20"/>
        </w:rPr>
        <w:t>authorized</w:t>
      </w:r>
      <w:r w:rsidRPr="00FC2D31">
        <w:rPr>
          <w:sz w:val="20"/>
          <w:szCs w:val="20"/>
        </w:rPr>
        <w:t xml:space="preserve"> within the European Union and for which </w:t>
      </w:r>
      <w:r w:rsidR="008A3341">
        <w:rPr>
          <w:sz w:val="20"/>
          <w:szCs w:val="20"/>
        </w:rPr>
        <w:t xml:space="preserve">patents have </w:t>
      </w:r>
      <w:r w:rsidRPr="00FC2D31">
        <w:rPr>
          <w:sz w:val="20"/>
          <w:szCs w:val="20"/>
        </w:rPr>
        <w:t xml:space="preserve">already been </w:t>
      </w:r>
      <w:r w:rsidR="008A3341">
        <w:rPr>
          <w:sz w:val="20"/>
          <w:szCs w:val="20"/>
        </w:rPr>
        <w:t>taken out</w:t>
      </w:r>
      <w:r w:rsidRPr="00FC2D31">
        <w:rPr>
          <w:sz w:val="20"/>
          <w:szCs w:val="20"/>
        </w:rPr>
        <w:t>.</w:t>
      </w:r>
    </w:p>
    <w:p w:rsidR="007B4995" w:rsidRPr="00FC2D31" w:rsidRDefault="007B4995" w:rsidP="007763CF">
      <w:pPr>
        <w:spacing w:before="57" w:line="360" w:lineRule="auto"/>
        <w:ind w:left="112" w:right="112"/>
        <w:jc w:val="both"/>
        <w:rPr>
          <w:rFonts w:ascii="Calibri" w:eastAsia="Calibri" w:hAnsi="Calibri" w:cs="Calibri"/>
          <w:sz w:val="20"/>
          <w:szCs w:val="20"/>
        </w:rPr>
      </w:pPr>
      <w:r w:rsidRPr="00FC2D31">
        <w:rPr>
          <w:rFonts w:ascii="Calibri" w:eastAsia="Calibri" w:hAnsi="Calibri" w:cs="Calibri"/>
          <w:sz w:val="20"/>
          <w:szCs w:val="20"/>
        </w:rPr>
        <w:t xml:space="preserve">In particular, the concept of a "similar biological medicinal product" was introduced into the European Union's legislation by directive 2001/83/EC and successive </w:t>
      </w:r>
      <w:r w:rsidR="00504029" w:rsidRPr="00FC2D31">
        <w:rPr>
          <w:rFonts w:ascii="Calibri" w:eastAsia="Calibri" w:hAnsi="Calibri" w:cs="Calibri"/>
          <w:sz w:val="20"/>
          <w:szCs w:val="20"/>
        </w:rPr>
        <w:t>amendments</w:t>
      </w:r>
      <w:r w:rsidR="005340BA">
        <w:rPr>
          <w:rStyle w:val="FootnoteReference"/>
          <w:rFonts w:ascii="Calibri" w:eastAsia="Calibri" w:hAnsi="Calibri" w:cs="Calibri"/>
          <w:sz w:val="20"/>
          <w:szCs w:val="20"/>
        </w:rPr>
        <w:footnoteReference w:id="1"/>
      </w:r>
      <w:r w:rsidRPr="00FC2D31">
        <w:rPr>
          <w:rFonts w:ascii="Calibri" w:eastAsia="Calibri" w:hAnsi="Calibri" w:cs="Calibri"/>
          <w:sz w:val="20"/>
          <w:szCs w:val="20"/>
        </w:rPr>
        <w:t xml:space="preserve">. </w:t>
      </w:r>
      <w:r w:rsidR="005340BA">
        <w:rPr>
          <w:rFonts w:ascii="Calibri" w:eastAsia="Calibri" w:hAnsi="Calibri" w:cs="Calibri"/>
          <w:sz w:val="20"/>
          <w:szCs w:val="20"/>
        </w:rPr>
        <w:t xml:space="preserve">The </w:t>
      </w:r>
      <w:r w:rsidR="005340BA" w:rsidRPr="00FC2D31">
        <w:rPr>
          <w:rFonts w:ascii="Calibri" w:eastAsia="Calibri" w:hAnsi="Calibri" w:cs="Calibri"/>
          <w:sz w:val="20"/>
          <w:szCs w:val="20"/>
        </w:rPr>
        <w:t xml:space="preserve">implicit definition of a biosimilar product </w:t>
      </w:r>
      <w:r w:rsidR="005340BA">
        <w:rPr>
          <w:rFonts w:ascii="Calibri" w:eastAsia="Calibri" w:hAnsi="Calibri" w:cs="Calibri"/>
          <w:sz w:val="20"/>
          <w:szCs w:val="20"/>
        </w:rPr>
        <w:t>given u</w:t>
      </w:r>
      <w:r w:rsidRPr="00FC2D31">
        <w:rPr>
          <w:rFonts w:ascii="Calibri" w:eastAsia="Calibri" w:hAnsi="Calibri" w:cs="Calibri"/>
          <w:sz w:val="20"/>
          <w:szCs w:val="20"/>
        </w:rPr>
        <w:t xml:space="preserve">nder article 10 (4) of the foregoing directive was successively implemented into Italian law </w:t>
      </w:r>
      <w:r w:rsidR="005340BA">
        <w:rPr>
          <w:rFonts w:ascii="Calibri" w:eastAsia="Calibri" w:hAnsi="Calibri" w:cs="Calibri"/>
          <w:sz w:val="20"/>
          <w:szCs w:val="20"/>
        </w:rPr>
        <w:t>with</w:t>
      </w:r>
      <w:r w:rsidRPr="00FC2D31">
        <w:rPr>
          <w:rFonts w:ascii="Calibri" w:eastAsia="Calibri" w:hAnsi="Calibri" w:cs="Calibri"/>
          <w:sz w:val="20"/>
          <w:szCs w:val="20"/>
        </w:rPr>
        <w:t xml:space="preserve"> legislative decree no 219/2006</w:t>
      </w:r>
      <w:r w:rsidR="005340BA">
        <w:rPr>
          <w:rFonts w:ascii="Calibri" w:eastAsia="Calibri" w:hAnsi="Calibri" w:cs="Calibri"/>
          <w:sz w:val="20"/>
          <w:szCs w:val="20"/>
        </w:rPr>
        <w:t>;</w:t>
      </w:r>
      <w:r w:rsidRPr="00FC2D31">
        <w:rPr>
          <w:rFonts w:ascii="Calibri" w:eastAsia="Calibri" w:hAnsi="Calibri" w:cs="Calibri"/>
          <w:sz w:val="20"/>
          <w:szCs w:val="20"/>
        </w:rPr>
        <w:t xml:space="preserve"> under article 10 subparagraph 7, </w:t>
      </w:r>
      <w:r w:rsidR="007D515F">
        <w:rPr>
          <w:rFonts w:ascii="Calibri" w:eastAsia="Calibri" w:hAnsi="Calibri" w:cs="Calibri"/>
          <w:sz w:val="20"/>
          <w:szCs w:val="20"/>
        </w:rPr>
        <w:t>which</w:t>
      </w:r>
      <w:r w:rsidR="005340BA">
        <w:rPr>
          <w:rFonts w:ascii="Calibri" w:eastAsia="Calibri" w:hAnsi="Calibri" w:cs="Calibri"/>
          <w:sz w:val="20"/>
          <w:szCs w:val="20"/>
        </w:rPr>
        <w:t xml:space="preserve"> </w:t>
      </w:r>
      <w:r w:rsidRPr="00FC2D31">
        <w:rPr>
          <w:rFonts w:ascii="Calibri" w:eastAsia="Calibri" w:hAnsi="Calibri" w:cs="Calibri"/>
          <w:sz w:val="20"/>
          <w:szCs w:val="20"/>
        </w:rPr>
        <w:t>reads as follows: "</w:t>
      </w:r>
      <w:r w:rsidRPr="00FC2D31">
        <w:rPr>
          <w:rFonts w:ascii="Calibri" w:eastAsia="Calibri" w:hAnsi="Calibri" w:cs="Calibri"/>
          <w:i/>
          <w:sz w:val="20"/>
          <w:szCs w:val="20"/>
        </w:rPr>
        <w:t xml:space="preserve">Whenever a biological medicinal product similar to a reference biological medicinal product </w:t>
      </w:r>
      <w:r w:rsidR="005340BA">
        <w:rPr>
          <w:rFonts w:ascii="Calibri" w:eastAsia="Calibri" w:hAnsi="Calibri" w:cs="Calibri"/>
          <w:i/>
          <w:sz w:val="20"/>
          <w:szCs w:val="20"/>
        </w:rPr>
        <w:t>is unable to</w:t>
      </w:r>
      <w:r w:rsidRPr="00FC2D31">
        <w:rPr>
          <w:rFonts w:ascii="Calibri" w:eastAsia="Calibri" w:hAnsi="Calibri" w:cs="Calibri"/>
          <w:i/>
          <w:sz w:val="20"/>
          <w:szCs w:val="20"/>
        </w:rPr>
        <w:t xml:space="preserve"> satisfy the conditions by which a generic medicinal product is defined on account, in particular, of differences referring to raw materials or </w:t>
      </w:r>
      <w:r w:rsidR="00A41424" w:rsidRPr="00FC2D31">
        <w:rPr>
          <w:rFonts w:ascii="Calibri" w:eastAsia="Calibri" w:hAnsi="Calibri" w:cs="Calibri"/>
          <w:i/>
          <w:sz w:val="20"/>
          <w:szCs w:val="20"/>
        </w:rPr>
        <w:t xml:space="preserve">differences </w:t>
      </w:r>
      <w:r w:rsidR="00A41424">
        <w:rPr>
          <w:rFonts w:ascii="Calibri" w:eastAsia="Calibri" w:hAnsi="Calibri" w:cs="Calibri"/>
          <w:i/>
          <w:sz w:val="20"/>
          <w:szCs w:val="20"/>
        </w:rPr>
        <w:t>in</w:t>
      </w:r>
      <w:r w:rsidRPr="00FC2D31">
        <w:rPr>
          <w:rFonts w:ascii="Calibri" w:eastAsia="Calibri" w:hAnsi="Calibri" w:cs="Calibri"/>
          <w:i/>
          <w:sz w:val="20"/>
          <w:szCs w:val="20"/>
        </w:rPr>
        <w:t xml:space="preserve"> the production process of the biological medicinal product and reference biological product, the applicant is required to </w:t>
      </w:r>
      <w:r w:rsidR="005340BA">
        <w:rPr>
          <w:rFonts w:ascii="Calibri" w:eastAsia="Calibri" w:hAnsi="Calibri" w:cs="Calibri"/>
          <w:i/>
          <w:sz w:val="20"/>
          <w:szCs w:val="20"/>
        </w:rPr>
        <w:t>submit</w:t>
      </w:r>
      <w:r w:rsidRPr="00FC2D31">
        <w:rPr>
          <w:rFonts w:ascii="Calibri" w:eastAsia="Calibri" w:hAnsi="Calibri" w:cs="Calibri"/>
          <w:i/>
          <w:sz w:val="20"/>
          <w:szCs w:val="20"/>
        </w:rPr>
        <w:t xml:space="preserve"> the results of appropriate preclinical tests or clinical trials regarding such conditions. The supplementary data to be provided must satisfy the pertinent criteria stated in the technical annex attached to the marketing </w:t>
      </w:r>
      <w:r w:rsidR="00504029" w:rsidRPr="00FC2D31">
        <w:rPr>
          <w:rFonts w:ascii="Calibri" w:eastAsia="Calibri" w:hAnsi="Calibri" w:cs="Calibri"/>
          <w:i/>
          <w:sz w:val="20"/>
          <w:szCs w:val="20"/>
        </w:rPr>
        <w:t>authorization</w:t>
      </w:r>
      <w:r w:rsidRPr="00FC2D31">
        <w:rPr>
          <w:rFonts w:ascii="Calibri" w:eastAsia="Calibri" w:hAnsi="Calibri" w:cs="Calibri"/>
          <w:i/>
          <w:sz w:val="20"/>
          <w:szCs w:val="20"/>
        </w:rPr>
        <w:t xml:space="preserve"> application and the relative guidelines. It is not necessary to provide the results of other tests and trials contained in the dossier on the reference medicinal product. If the results presented are not deemed sufficient to guarantee the equivalence of the biogeneric or biosimilar product with respect to the reference biological medicinal product, an application is submitted in compliance with all the requisites required by article 8.</w:t>
      </w:r>
      <w:r w:rsidRPr="00FC2D31">
        <w:rPr>
          <w:rFonts w:ascii="Calibri" w:eastAsia="Calibri" w:hAnsi="Calibri" w:cs="Calibri"/>
          <w:sz w:val="20"/>
          <w:szCs w:val="20"/>
        </w:rPr>
        <w:t>”</w:t>
      </w:r>
      <w:r w:rsidR="005340BA">
        <w:rPr>
          <w:rStyle w:val="FootnoteReference"/>
          <w:rFonts w:ascii="Calibri" w:eastAsia="Calibri" w:hAnsi="Calibri" w:cs="Calibri"/>
          <w:sz w:val="20"/>
          <w:szCs w:val="20"/>
        </w:rPr>
        <w:footnoteReference w:id="2"/>
      </w:r>
      <w:r w:rsidRPr="00FC2D31">
        <w:rPr>
          <w:rFonts w:ascii="Calibri" w:eastAsia="Calibri" w:hAnsi="Calibri" w:cs="Calibri"/>
          <w:sz w:val="20"/>
          <w:szCs w:val="20"/>
        </w:rPr>
        <w:t xml:space="preserve"> </w:t>
      </w:r>
    </w:p>
    <w:p w:rsidR="007B4995" w:rsidRPr="007763CF" w:rsidRDefault="007B4995" w:rsidP="007763CF">
      <w:pPr>
        <w:pStyle w:val="BodyText"/>
        <w:spacing w:line="360" w:lineRule="auto"/>
        <w:ind w:left="113" w:right="116"/>
        <w:jc w:val="both"/>
        <w:rPr>
          <w:rFonts w:cs="Calibri"/>
          <w:sz w:val="20"/>
          <w:szCs w:val="20"/>
        </w:rPr>
      </w:pPr>
      <w:r w:rsidRPr="00FC2D31">
        <w:rPr>
          <w:sz w:val="20"/>
          <w:szCs w:val="20"/>
        </w:rPr>
        <w:t xml:space="preserve">In September 2012 EMA </w:t>
      </w:r>
      <w:r w:rsidR="0092765B">
        <w:rPr>
          <w:sz w:val="20"/>
          <w:szCs w:val="20"/>
        </w:rPr>
        <w:t>issued a</w:t>
      </w:r>
      <w:r w:rsidRPr="00FC2D31">
        <w:rPr>
          <w:sz w:val="20"/>
          <w:szCs w:val="20"/>
        </w:rPr>
        <w:t xml:space="preserve"> document containing the following definition: </w:t>
      </w:r>
      <w:r w:rsidRPr="00FC2D31">
        <w:rPr>
          <w:i/>
          <w:sz w:val="20"/>
          <w:szCs w:val="20"/>
        </w:rPr>
        <w:t>"</w:t>
      </w:r>
      <w:r w:rsidR="00861C5F" w:rsidRPr="007763CF">
        <w:rPr>
          <w:rFonts w:cs="Calibri"/>
          <w:i/>
          <w:sz w:val="20"/>
          <w:szCs w:val="20"/>
        </w:rPr>
        <w:t>A</w:t>
      </w:r>
      <w:r w:rsidRPr="00FC2D31">
        <w:rPr>
          <w:rFonts w:cs="Calibri"/>
          <w:i/>
          <w:sz w:val="20"/>
          <w:szCs w:val="20"/>
        </w:rPr>
        <w:t xml:space="preserve"> biosimilar medicinal product shall be understood </w:t>
      </w:r>
      <w:r w:rsidR="007D515F">
        <w:rPr>
          <w:rFonts w:cs="Calibri"/>
          <w:i/>
          <w:sz w:val="20"/>
          <w:szCs w:val="20"/>
        </w:rPr>
        <w:t>to be</w:t>
      </w:r>
      <w:r w:rsidR="00861C5F" w:rsidRPr="00FC2D31">
        <w:rPr>
          <w:rFonts w:cs="Calibri"/>
          <w:i/>
          <w:sz w:val="20"/>
          <w:szCs w:val="20"/>
        </w:rPr>
        <w:t xml:space="preserve"> </w:t>
      </w:r>
      <w:r w:rsidRPr="00FC2D31">
        <w:rPr>
          <w:rFonts w:cs="Calibri"/>
          <w:i/>
          <w:sz w:val="20"/>
          <w:szCs w:val="20"/>
        </w:rPr>
        <w:t xml:space="preserve">a medicinal product developed in such a manner as to </w:t>
      </w:r>
      <w:r w:rsidR="0092765B">
        <w:rPr>
          <w:rFonts w:cs="Calibri"/>
          <w:i/>
          <w:sz w:val="20"/>
          <w:szCs w:val="20"/>
        </w:rPr>
        <w:t>be</w:t>
      </w:r>
      <w:r w:rsidRPr="00FC2D31">
        <w:rPr>
          <w:rFonts w:cs="Calibri"/>
          <w:i/>
          <w:sz w:val="20"/>
          <w:szCs w:val="20"/>
        </w:rPr>
        <w:t xml:space="preserve"> similar to a biological medicinal product that has already been </w:t>
      </w:r>
      <w:r w:rsidR="00504029" w:rsidRPr="00FC2D31">
        <w:rPr>
          <w:rFonts w:cs="Calibri"/>
          <w:i/>
          <w:sz w:val="20"/>
          <w:szCs w:val="20"/>
        </w:rPr>
        <w:t>authorized</w:t>
      </w:r>
      <w:r w:rsidRPr="00FC2D31">
        <w:rPr>
          <w:rFonts w:cs="Calibri"/>
          <w:i/>
          <w:sz w:val="20"/>
          <w:szCs w:val="20"/>
        </w:rPr>
        <w:t xml:space="preserve"> (the so-called "reference medicinal product"). Biosimilar medicinal </w:t>
      </w:r>
      <w:r w:rsidRPr="00FC2D31">
        <w:rPr>
          <w:rFonts w:cs="Calibri"/>
          <w:i/>
          <w:sz w:val="20"/>
          <w:szCs w:val="20"/>
        </w:rPr>
        <w:lastRenderedPageBreak/>
        <w:t xml:space="preserve">products, therefore, differ from generic medicinal products </w:t>
      </w:r>
      <w:r w:rsidR="00D20D59">
        <w:rPr>
          <w:rFonts w:cs="Calibri"/>
          <w:i/>
          <w:sz w:val="20"/>
          <w:szCs w:val="20"/>
        </w:rPr>
        <w:t xml:space="preserve">insofar </w:t>
      </w:r>
      <w:r w:rsidRPr="00FC2D31">
        <w:rPr>
          <w:rFonts w:cs="Calibri"/>
          <w:i/>
          <w:sz w:val="20"/>
          <w:szCs w:val="20"/>
        </w:rPr>
        <w:t>as the latter have simpler chemical structures and may be deemed identical to their reference medicinal products. The active principle</w:t>
      </w:r>
      <w:r w:rsidR="0092765B">
        <w:rPr>
          <w:rFonts w:cs="Calibri"/>
          <w:i/>
          <w:sz w:val="20"/>
          <w:szCs w:val="20"/>
        </w:rPr>
        <w:t>s</w:t>
      </w:r>
      <w:r w:rsidRPr="00FC2D31">
        <w:rPr>
          <w:rFonts w:cs="Calibri"/>
          <w:i/>
          <w:sz w:val="20"/>
          <w:szCs w:val="20"/>
        </w:rPr>
        <w:t xml:space="preserve"> of a biosimilar and </w:t>
      </w:r>
      <w:r w:rsidR="0092765B">
        <w:rPr>
          <w:rFonts w:cs="Calibri"/>
          <w:i/>
          <w:sz w:val="20"/>
          <w:szCs w:val="20"/>
        </w:rPr>
        <w:t>those</w:t>
      </w:r>
      <w:r w:rsidRPr="00FC2D31">
        <w:rPr>
          <w:rFonts w:cs="Calibri"/>
          <w:i/>
          <w:sz w:val="20"/>
          <w:szCs w:val="20"/>
        </w:rPr>
        <w:t xml:space="preserve"> of its reference medicinal product are made from the same biological substance </w:t>
      </w:r>
      <w:r w:rsidR="0092765B">
        <w:rPr>
          <w:rFonts w:cs="Calibri"/>
          <w:i/>
          <w:sz w:val="20"/>
          <w:szCs w:val="20"/>
        </w:rPr>
        <w:t>but</w:t>
      </w:r>
      <w:r w:rsidRPr="00FC2D31">
        <w:rPr>
          <w:rFonts w:cs="Calibri"/>
          <w:i/>
          <w:sz w:val="20"/>
          <w:szCs w:val="20"/>
        </w:rPr>
        <w:t xml:space="preserve"> minor differences may also be present due to </w:t>
      </w:r>
      <w:r w:rsidR="00D20D59">
        <w:rPr>
          <w:rFonts w:cs="Calibri"/>
          <w:i/>
          <w:sz w:val="20"/>
          <w:szCs w:val="20"/>
        </w:rPr>
        <w:t xml:space="preserve">the </w:t>
      </w:r>
      <w:r w:rsidRPr="00FC2D31">
        <w:rPr>
          <w:rFonts w:cs="Calibri"/>
          <w:i/>
          <w:sz w:val="20"/>
          <w:szCs w:val="20"/>
        </w:rPr>
        <w:t xml:space="preserve">complex nature </w:t>
      </w:r>
      <w:r w:rsidR="0092765B">
        <w:rPr>
          <w:rFonts w:cs="Calibri"/>
          <w:i/>
          <w:sz w:val="20"/>
          <w:szCs w:val="20"/>
        </w:rPr>
        <w:t xml:space="preserve">of such active principles </w:t>
      </w:r>
      <w:r w:rsidRPr="00FC2D31">
        <w:rPr>
          <w:rFonts w:cs="Calibri"/>
          <w:i/>
          <w:sz w:val="20"/>
          <w:szCs w:val="20"/>
        </w:rPr>
        <w:t xml:space="preserve">and </w:t>
      </w:r>
      <w:r w:rsidR="0092765B">
        <w:rPr>
          <w:rFonts w:cs="Calibri"/>
          <w:i/>
          <w:sz w:val="20"/>
          <w:szCs w:val="20"/>
        </w:rPr>
        <w:t xml:space="preserve">the </w:t>
      </w:r>
      <w:r w:rsidRPr="00FC2D31">
        <w:rPr>
          <w:rFonts w:cs="Calibri"/>
          <w:i/>
          <w:sz w:val="20"/>
          <w:szCs w:val="20"/>
        </w:rPr>
        <w:t>production techniques</w:t>
      </w:r>
      <w:r w:rsidR="0092765B">
        <w:rPr>
          <w:rFonts w:cs="Calibri"/>
          <w:i/>
          <w:sz w:val="20"/>
          <w:szCs w:val="20"/>
        </w:rPr>
        <w:t xml:space="preserve"> involved</w:t>
      </w:r>
      <w:r w:rsidRPr="00FC2D31">
        <w:rPr>
          <w:rFonts w:cs="Calibri"/>
          <w:i/>
          <w:sz w:val="20"/>
          <w:szCs w:val="20"/>
        </w:rPr>
        <w:t xml:space="preserve">. As with the </w:t>
      </w:r>
      <w:r w:rsidR="00D20D59">
        <w:rPr>
          <w:rFonts w:cs="Calibri"/>
          <w:i/>
          <w:sz w:val="20"/>
          <w:szCs w:val="20"/>
        </w:rPr>
        <w:t>reference</w:t>
      </w:r>
      <w:r w:rsidR="005309C3">
        <w:rPr>
          <w:rFonts w:cs="Calibri"/>
          <w:i/>
          <w:sz w:val="20"/>
          <w:szCs w:val="20"/>
        </w:rPr>
        <w:t xml:space="preserve"> </w:t>
      </w:r>
      <w:r w:rsidRPr="00FC2D31">
        <w:rPr>
          <w:rFonts w:cs="Calibri"/>
          <w:i/>
          <w:sz w:val="20"/>
          <w:szCs w:val="20"/>
        </w:rPr>
        <w:t xml:space="preserve"> medicinal product a biosimilar is</w:t>
      </w:r>
      <w:r w:rsidR="00A54A1B">
        <w:rPr>
          <w:rFonts w:cs="Calibri"/>
          <w:i/>
          <w:sz w:val="20"/>
          <w:szCs w:val="20"/>
        </w:rPr>
        <w:t xml:space="preserve"> also</w:t>
      </w:r>
      <w:r w:rsidRPr="00FC2D31">
        <w:rPr>
          <w:rFonts w:cs="Calibri"/>
          <w:i/>
          <w:sz w:val="20"/>
          <w:szCs w:val="20"/>
        </w:rPr>
        <w:t xml:space="preserve"> </w:t>
      </w:r>
      <w:r w:rsidR="00504029" w:rsidRPr="00FC2D31">
        <w:rPr>
          <w:rFonts w:cs="Calibri"/>
          <w:i/>
          <w:sz w:val="20"/>
          <w:szCs w:val="20"/>
        </w:rPr>
        <w:t>characterized</w:t>
      </w:r>
      <w:r w:rsidRPr="00FC2D31">
        <w:rPr>
          <w:rFonts w:cs="Calibri"/>
          <w:i/>
          <w:sz w:val="20"/>
          <w:szCs w:val="20"/>
        </w:rPr>
        <w:t xml:space="preserve"> by a certain degree of natural variability. A biosimilar is approved whenever it can be demonstrated that </w:t>
      </w:r>
      <w:r w:rsidR="0092765B">
        <w:rPr>
          <w:rFonts w:cs="Calibri"/>
          <w:i/>
          <w:sz w:val="20"/>
          <w:szCs w:val="20"/>
        </w:rPr>
        <w:t>this</w:t>
      </w:r>
      <w:r w:rsidRPr="00FC2D31">
        <w:rPr>
          <w:rFonts w:cs="Calibri"/>
          <w:i/>
          <w:sz w:val="20"/>
          <w:szCs w:val="20"/>
        </w:rPr>
        <w:t xml:space="preserve"> natural variability and any differences with respect to the reference medicinal product do not impact on its safety or effectiveness.</w:t>
      </w:r>
      <w:r w:rsidRPr="007763CF">
        <w:rPr>
          <w:rFonts w:cs="Calibri"/>
          <w:i/>
          <w:sz w:val="20"/>
          <w:szCs w:val="20"/>
        </w:rPr>
        <w:t>"  (</w:t>
      </w:r>
      <w:r w:rsidRPr="00FC2D31">
        <w:rPr>
          <w:rFonts w:cs="Calibri"/>
          <w:i/>
          <w:sz w:val="20"/>
          <w:szCs w:val="20"/>
        </w:rPr>
        <w:t>Questions and Answers on biosimilar medicines</w:t>
      </w:r>
      <w:r w:rsidRPr="007763CF">
        <w:rPr>
          <w:rFonts w:cs="Calibri"/>
          <w:i/>
          <w:sz w:val="20"/>
          <w:szCs w:val="20"/>
        </w:rPr>
        <w:t xml:space="preserve"> EMA/837805/2011 27 September 2012). </w:t>
      </w:r>
      <w:r w:rsidRPr="007763CF">
        <w:rPr>
          <w:rFonts w:cs="Calibri"/>
          <w:sz w:val="20"/>
          <w:szCs w:val="20"/>
        </w:rPr>
        <w:t xml:space="preserve">A biosimilar and its reference product </w:t>
      </w:r>
      <w:r w:rsidR="00A54A1B">
        <w:rPr>
          <w:rFonts w:cs="Calibri"/>
          <w:sz w:val="20"/>
          <w:szCs w:val="20"/>
        </w:rPr>
        <w:t>as a result of</w:t>
      </w:r>
      <w:r w:rsidRPr="007763CF">
        <w:rPr>
          <w:rFonts w:cs="Calibri"/>
          <w:sz w:val="20"/>
          <w:szCs w:val="20"/>
        </w:rPr>
        <w:t xml:space="preserve"> being produced with different production arrangements are not identical </w:t>
      </w:r>
      <w:r w:rsidR="0092765B">
        <w:rPr>
          <w:rFonts w:cs="Calibri"/>
          <w:sz w:val="20"/>
          <w:szCs w:val="20"/>
        </w:rPr>
        <w:t>but rather</w:t>
      </w:r>
      <w:r w:rsidRPr="007763CF">
        <w:rPr>
          <w:rFonts w:cs="Calibri"/>
          <w:sz w:val="20"/>
          <w:szCs w:val="20"/>
        </w:rPr>
        <w:t xml:space="preserve"> essentially similar in terms of quality, safety and effectiveness.</w:t>
      </w:r>
    </w:p>
    <w:p w:rsidR="007B4995" w:rsidRPr="00FC2D31" w:rsidRDefault="007B4995" w:rsidP="007763CF">
      <w:pPr>
        <w:pStyle w:val="BodyText"/>
        <w:spacing w:line="360" w:lineRule="auto"/>
        <w:ind w:left="113" w:right="113"/>
        <w:jc w:val="both"/>
        <w:rPr>
          <w:sz w:val="20"/>
          <w:szCs w:val="20"/>
        </w:rPr>
      </w:pPr>
      <w:r w:rsidRPr="00FC2D31">
        <w:rPr>
          <w:sz w:val="20"/>
          <w:szCs w:val="20"/>
        </w:rPr>
        <w:t xml:space="preserve">In conclusion, it should also be mentioned that in some cases </w:t>
      </w:r>
      <w:r w:rsidR="0092765B">
        <w:rPr>
          <w:sz w:val="20"/>
          <w:szCs w:val="20"/>
        </w:rPr>
        <w:t>a</w:t>
      </w:r>
      <w:r w:rsidRPr="00FC2D31">
        <w:rPr>
          <w:sz w:val="20"/>
          <w:szCs w:val="20"/>
        </w:rPr>
        <w:t xml:space="preserve"> biosimilar may be derived from</w:t>
      </w:r>
      <w:r w:rsidR="00861C5F" w:rsidRPr="00FC2D31">
        <w:rPr>
          <w:sz w:val="20"/>
          <w:szCs w:val="20"/>
        </w:rPr>
        <w:t xml:space="preserve">  m</w:t>
      </w:r>
      <w:r w:rsidRPr="00FC2D31">
        <w:rPr>
          <w:sz w:val="20"/>
          <w:szCs w:val="20"/>
        </w:rPr>
        <w:t xml:space="preserve">ore innovative production processes </w:t>
      </w:r>
      <w:r w:rsidR="007D515F">
        <w:rPr>
          <w:sz w:val="20"/>
          <w:szCs w:val="20"/>
        </w:rPr>
        <w:t xml:space="preserve">with </w:t>
      </w:r>
      <w:r w:rsidRPr="00FC2D31">
        <w:rPr>
          <w:sz w:val="20"/>
          <w:szCs w:val="20"/>
        </w:rPr>
        <w:t>respect to those used</w:t>
      </w:r>
      <w:r w:rsidR="00A54A1B">
        <w:rPr>
          <w:sz w:val="20"/>
          <w:szCs w:val="20"/>
        </w:rPr>
        <w:t xml:space="preserve"> for the reference product, and, consequently,</w:t>
      </w:r>
      <w:r w:rsidRPr="00FC2D31">
        <w:rPr>
          <w:sz w:val="20"/>
          <w:szCs w:val="20"/>
        </w:rPr>
        <w:t xml:space="preserve"> </w:t>
      </w:r>
      <w:bookmarkStart w:id="1" w:name="_bookmark1"/>
      <w:bookmarkEnd w:id="1"/>
      <w:r w:rsidRPr="00FC2D31">
        <w:rPr>
          <w:sz w:val="20"/>
          <w:szCs w:val="20"/>
        </w:rPr>
        <w:t xml:space="preserve">the biosimilar </w:t>
      </w:r>
      <w:r w:rsidR="00A54A1B">
        <w:rPr>
          <w:sz w:val="20"/>
          <w:szCs w:val="20"/>
        </w:rPr>
        <w:t>may acquire</w:t>
      </w:r>
      <w:r w:rsidRPr="00FC2D31">
        <w:rPr>
          <w:sz w:val="20"/>
          <w:szCs w:val="20"/>
        </w:rPr>
        <w:t xml:space="preserve"> properties</w:t>
      </w:r>
      <w:r w:rsidR="00A54A1B" w:rsidRPr="00A54A1B">
        <w:rPr>
          <w:sz w:val="20"/>
          <w:szCs w:val="20"/>
        </w:rPr>
        <w:t xml:space="preserve"> </w:t>
      </w:r>
      <w:r w:rsidR="00A54A1B">
        <w:rPr>
          <w:sz w:val="20"/>
          <w:szCs w:val="20"/>
        </w:rPr>
        <w:t xml:space="preserve">in terms of </w:t>
      </w:r>
      <w:r w:rsidR="00A54A1B" w:rsidRPr="00FC2D31">
        <w:rPr>
          <w:sz w:val="20"/>
          <w:szCs w:val="20"/>
        </w:rPr>
        <w:t>quality</w:t>
      </w:r>
      <w:r w:rsidRPr="00FC2D31">
        <w:rPr>
          <w:sz w:val="20"/>
          <w:szCs w:val="20"/>
        </w:rPr>
        <w:t xml:space="preserve">, </w:t>
      </w:r>
      <w:r w:rsidR="007D515F">
        <w:rPr>
          <w:sz w:val="20"/>
          <w:szCs w:val="20"/>
        </w:rPr>
        <w:t>(</w:t>
      </w:r>
      <w:r w:rsidRPr="00FC2D31">
        <w:rPr>
          <w:sz w:val="20"/>
          <w:szCs w:val="20"/>
        </w:rPr>
        <w:t xml:space="preserve">for example in terms of </w:t>
      </w:r>
      <w:r w:rsidR="00504029" w:rsidRPr="00FC2D31">
        <w:rPr>
          <w:sz w:val="20"/>
          <w:szCs w:val="20"/>
        </w:rPr>
        <w:t>impurities</w:t>
      </w:r>
      <w:r w:rsidR="007D515F">
        <w:rPr>
          <w:sz w:val="20"/>
          <w:szCs w:val="20"/>
        </w:rPr>
        <w:t>)</w:t>
      </w:r>
      <w:r w:rsidR="00504029" w:rsidRPr="00FC2D31">
        <w:rPr>
          <w:sz w:val="20"/>
          <w:szCs w:val="20"/>
        </w:rPr>
        <w:t xml:space="preserve">, </w:t>
      </w:r>
      <w:r w:rsidR="00A54A1B">
        <w:rPr>
          <w:sz w:val="20"/>
          <w:szCs w:val="20"/>
        </w:rPr>
        <w:t>that</w:t>
      </w:r>
      <w:r w:rsidRPr="00FC2D31">
        <w:rPr>
          <w:sz w:val="20"/>
          <w:szCs w:val="20"/>
        </w:rPr>
        <w:t xml:space="preserve"> are actually better than the reference product.</w:t>
      </w:r>
    </w:p>
    <w:p w:rsidR="007B4995" w:rsidRPr="00FC2D31" w:rsidRDefault="007B4995" w:rsidP="007763CF">
      <w:pPr>
        <w:spacing w:line="360" w:lineRule="auto"/>
        <w:rPr>
          <w:sz w:val="20"/>
          <w:szCs w:val="20"/>
        </w:rPr>
      </w:pPr>
    </w:p>
    <w:p w:rsidR="007B4995" w:rsidRPr="00FC2D31" w:rsidRDefault="007B4995" w:rsidP="007763CF">
      <w:pPr>
        <w:pStyle w:val="Heading1"/>
        <w:spacing w:line="360" w:lineRule="auto"/>
        <w:ind w:right="3944"/>
        <w:jc w:val="both"/>
        <w:rPr>
          <w:b w:val="0"/>
          <w:sz w:val="20"/>
          <w:szCs w:val="20"/>
        </w:rPr>
      </w:pPr>
      <w:r w:rsidRPr="00FC2D31">
        <w:rPr>
          <w:sz w:val="20"/>
          <w:szCs w:val="20"/>
        </w:rPr>
        <w:t>Current EU law on biosimilar medicinal products</w:t>
      </w:r>
    </w:p>
    <w:p w:rsidR="007B4995" w:rsidRPr="00FC2D31" w:rsidRDefault="007B4995" w:rsidP="007763CF">
      <w:pPr>
        <w:spacing w:before="6" w:line="360" w:lineRule="auto"/>
        <w:rPr>
          <w:sz w:val="20"/>
          <w:szCs w:val="20"/>
        </w:rPr>
      </w:pPr>
    </w:p>
    <w:p w:rsidR="007B4995" w:rsidRPr="00FC2D31" w:rsidRDefault="007B4995" w:rsidP="007763CF">
      <w:pPr>
        <w:pStyle w:val="BodyText"/>
        <w:spacing w:line="360" w:lineRule="auto"/>
        <w:ind w:left="113" w:right="113"/>
        <w:jc w:val="both"/>
        <w:rPr>
          <w:sz w:val="20"/>
          <w:szCs w:val="20"/>
        </w:rPr>
      </w:pPr>
      <w:r w:rsidRPr="00FC2D31">
        <w:rPr>
          <w:sz w:val="20"/>
          <w:szCs w:val="20"/>
        </w:rPr>
        <w:t xml:space="preserve">European law </w:t>
      </w:r>
      <w:r w:rsidR="00A54A1B">
        <w:rPr>
          <w:sz w:val="20"/>
          <w:szCs w:val="20"/>
        </w:rPr>
        <w:t>provides</w:t>
      </w:r>
      <w:r w:rsidRPr="00FC2D31">
        <w:rPr>
          <w:sz w:val="20"/>
          <w:szCs w:val="20"/>
        </w:rPr>
        <w:t xml:space="preserve"> the first example of </w:t>
      </w:r>
      <w:r w:rsidR="0092765B">
        <w:rPr>
          <w:sz w:val="20"/>
          <w:szCs w:val="20"/>
        </w:rPr>
        <w:t xml:space="preserve">the </w:t>
      </w:r>
      <w:r w:rsidR="00A54A1B">
        <w:rPr>
          <w:sz w:val="20"/>
          <w:szCs w:val="20"/>
        </w:rPr>
        <w:t xml:space="preserve">legal </w:t>
      </w:r>
      <w:r w:rsidR="0092765B">
        <w:rPr>
          <w:sz w:val="20"/>
          <w:szCs w:val="20"/>
        </w:rPr>
        <w:t>regulation of</w:t>
      </w:r>
      <w:r w:rsidRPr="00FC2D31">
        <w:rPr>
          <w:sz w:val="20"/>
          <w:szCs w:val="20"/>
        </w:rPr>
        <w:t xml:space="preserve"> the biosimilar </w:t>
      </w:r>
      <w:r w:rsidR="00504029" w:rsidRPr="00FC2D31">
        <w:rPr>
          <w:sz w:val="20"/>
          <w:szCs w:val="20"/>
        </w:rPr>
        <w:t>authorizing</w:t>
      </w:r>
      <w:r w:rsidRPr="00FC2D31">
        <w:rPr>
          <w:sz w:val="20"/>
          <w:szCs w:val="20"/>
        </w:rPr>
        <w:t xml:space="preserve"> process.  Th</w:t>
      </w:r>
      <w:r w:rsidR="007D515F">
        <w:rPr>
          <w:sz w:val="20"/>
          <w:szCs w:val="20"/>
        </w:rPr>
        <w:t>us, the</w:t>
      </w:r>
      <w:r w:rsidRPr="00FC2D31">
        <w:rPr>
          <w:sz w:val="20"/>
          <w:szCs w:val="20"/>
        </w:rPr>
        <w:t xml:space="preserve"> World Health </w:t>
      </w:r>
      <w:r w:rsidR="00504029" w:rsidRPr="00FC2D31">
        <w:rPr>
          <w:sz w:val="20"/>
          <w:szCs w:val="20"/>
        </w:rPr>
        <w:t>Organization</w:t>
      </w:r>
      <w:r w:rsidRPr="00FC2D31">
        <w:rPr>
          <w:sz w:val="20"/>
          <w:szCs w:val="20"/>
        </w:rPr>
        <w:t xml:space="preserve"> (WHO ) and many countries throughout the world including the USA, Canada, Australia and Japan have based their </w:t>
      </w:r>
      <w:r w:rsidR="0092765B">
        <w:rPr>
          <w:sz w:val="20"/>
          <w:szCs w:val="20"/>
        </w:rPr>
        <w:t>own regulatory law upon EU</w:t>
      </w:r>
      <w:r w:rsidRPr="00FC2D31">
        <w:rPr>
          <w:sz w:val="20"/>
          <w:szCs w:val="20"/>
        </w:rPr>
        <w:t xml:space="preserve"> law. All applications for marketing </w:t>
      </w:r>
      <w:r w:rsidR="00504029" w:rsidRPr="00FC2D31">
        <w:rPr>
          <w:sz w:val="20"/>
          <w:szCs w:val="20"/>
        </w:rPr>
        <w:t>authorization</w:t>
      </w:r>
      <w:r w:rsidRPr="00FC2D31">
        <w:rPr>
          <w:sz w:val="20"/>
          <w:szCs w:val="20"/>
        </w:rPr>
        <w:t xml:space="preserve"> in respect of biological medicinal products, including biosimilar applications, within the European Union are examined by EMA through a </w:t>
      </w:r>
      <w:r w:rsidR="00504029" w:rsidRPr="00FC2D31">
        <w:rPr>
          <w:sz w:val="20"/>
          <w:szCs w:val="20"/>
        </w:rPr>
        <w:t>centralized</w:t>
      </w:r>
      <w:r w:rsidRPr="00FC2D31">
        <w:rPr>
          <w:sz w:val="20"/>
          <w:szCs w:val="20"/>
        </w:rPr>
        <w:t xml:space="preserve"> procedure. </w:t>
      </w:r>
      <w:r w:rsidR="00504029" w:rsidRPr="00FC2D31">
        <w:rPr>
          <w:sz w:val="20"/>
          <w:szCs w:val="20"/>
        </w:rPr>
        <w:t>Consequently,</w:t>
      </w:r>
      <w:r w:rsidRPr="00FC2D31">
        <w:rPr>
          <w:sz w:val="20"/>
          <w:szCs w:val="20"/>
        </w:rPr>
        <w:t xml:space="preserve"> a marketing </w:t>
      </w:r>
      <w:r w:rsidR="00504029" w:rsidRPr="00FC2D31">
        <w:rPr>
          <w:sz w:val="20"/>
          <w:szCs w:val="20"/>
        </w:rPr>
        <w:t>authorization</w:t>
      </w:r>
      <w:r w:rsidRPr="00FC2D31">
        <w:rPr>
          <w:sz w:val="20"/>
          <w:szCs w:val="20"/>
        </w:rPr>
        <w:t xml:space="preserve"> issued by EMA is valid for all member states of the European Union. </w:t>
      </w:r>
      <w:r w:rsidR="00C037E1">
        <w:rPr>
          <w:sz w:val="20"/>
          <w:szCs w:val="20"/>
        </w:rPr>
        <w:t xml:space="preserve">However, this procedure, </w:t>
      </w:r>
      <w:r w:rsidRPr="00FC2D31">
        <w:rPr>
          <w:sz w:val="20"/>
          <w:szCs w:val="20"/>
        </w:rPr>
        <w:t>first and foremost</w:t>
      </w:r>
      <w:r w:rsidR="00C037E1">
        <w:rPr>
          <w:sz w:val="20"/>
          <w:szCs w:val="20"/>
        </w:rPr>
        <w:t>,</w:t>
      </w:r>
      <w:r w:rsidRPr="00FC2D31">
        <w:rPr>
          <w:sz w:val="20"/>
          <w:szCs w:val="20"/>
        </w:rPr>
        <w:t xml:space="preserve"> </w:t>
      </w:r>
      <w:r w:rsidR="00C037E1">
        <w:rPr>
          <w:sz w:val="20"/>
          <w:szCs w:val="20"/>
        </w:rPr>
        <w:t>requires</w:t>
      </w:r>
      <w:r w:rsidRPr="00FC2D31">
        <w:rPr>
          <w:sz w:val="20"/>
          <w:szCs w:val="20"/>
        </w:rPr>
        <w:t xml:space="preserve"> that the reference product to which the marketing </w:t>
      </w:r>
      <w:r w:rsidR="00504029" w:rsidRPr="00FC2D31">
        <w:rPr>
          <w:sz w:val="20"/>
          <w:szCs w:val="20"/>
        </w:rPr>
        <w:t>authorization</w:t>
      </w:r>
      <w:r w:rsidRPr="00FC2D31">
        <w:rPr>
          <w:sz w:val="20"/>
          <w:szCs w:val="20"/>
        </w:rPr>
        <w:t xml:space="preserve"> application for a biosimilar refers </w:t>
      </w:r>
      <w:r w:rsidR="00C037E1">
        <w:rPr>
          <w:sz w:val="20"/>
          <w:szCs w:val="20"/>
        </w:rPr>
        <w:t>be</w:t>
      </w:r>
      <w:r w:rsidRPr="00FC2D31">
        <w:rPr>
          <w:sz w:val="20"/>
          <w:szCs w:val="20"/>
        </w:rPr>
        <w:t xml:space="preserve"> a medicinal product </w:t>
      </w:r>
      <w:r w:rsidR="00C037E1">
        <w:rPr>
          <w:sz w:val="20"/>
          <w:szCs w:val="20"/>
        </w:rPr>
        <w:t>holding</w:t>
      </w:r>
      <w:r w:rsidRPr="00FC2D31">
        <w:rPr>
          <w:sz w:val="20"/>
          <w:szCs w:val="20"/>
        </w:rPr>
        <w:t xml:space="preserve"> a marketing </w:t>
      </w:r>
      <w:r w:rsidR="00504029" w:rsidRPr="00FC2D31">
        <w:rPr>
          <w:sz w:val="20"/>
          <w:szCs w:val="20"/>
        </w:rPr>
        <w:t>authorization</w:t>
      </w:r>
      <w:r w:rsidRPr="00FC2D31">
        <w:rPr>
          <w:sz w:val="20"/>
          <w:szCs w:val="20"/>
        </w:rPr>
        <w:t xml:space="preserve"> </w:t>
      </w:r>
      <w:r w:rsidR="00C037E1">
        <w:rPr>
          <w:sz w:val="20"/>
          <w:szCs w:val="20"/>
        </w:rPr>
        <w:t>issued by</w:t>
      </w:r>
      <w:r w:rsidRPr="00FC2D31">
        <w:rPr>
          <w:sz w:val="20"/>
          <w:szCs w:val="20"/>
        </w:rPr>
        <w:t xml:space="preserve"> the European Union </w:t>
      </w:r>
      <w:r w:rsidR="00C037E1">
        <w:rPr>
          <w:sz w:val="20"/>
          <w:szCs w:val="20"/>
        </w:rPr>
        <w:t>based on a</w:t>
      </w:r>
      <w:r w:rsidRPr="00FC2D31">
        <w:rPr>
          <w:sz w:val="20"/>
          <w:szCs w:val="20"/>
        </w:rPr>
        <w:t xml:space="preserve"> complete registration dossier</w:t>
      </w:r>
      <w:r w:rsidR="00C037E1">
        <w:rPr>
          <w:sz w:val="20"/>
          <w:szCs w:val="20"/>
        </w:rPr>
        <w:t>,</w:t>
      </w:r>
      <w:r w:rsidRPr="00FC2D31">
        <w:rPr>
          <w:sz w:val="20"/>
          <w:szCs w:val="20"/>
        </w:rPr>
        <w:t xml:space="preserve"> </w:t>
      </w:r>
      <w:r w:rsidR="00C037E1">
        <w:rPr>
          <w:sz w:val="20"/>
          <w:szCs w:val="20"/>
        </w:rPr>
        <w:t>pursuant to</w:t>
      </w:r>
      <w:r w:rsidRPr="00FC2D31">
        <w:rPr>
          <w:sz w:val="20"/>
          <w:szCs w:val="20"/>
        </w:rPr>
        <w:t xml:space="preserve"> the provisions of article 8 of Directive  2001/83/EC.</w:t>
      </w:r>
    </w:p>
    <w:p w:rsidR="007B4995" w:rsidRPr="00FC2D31" w:rsidRDefault="007B4995" w:rsidP="007763CF">
      <w:pPr>
        <w:spacing w:before="10" w:line="360" w:lineRule="auto"/>
        <w:rPr>
          <w:sz w:val="20"/>
          <w:szCs w:val="20"/>
        </w:rPr>
      </w:pPr>
    </w:p>
    <w:p w:rsidR="007B4995" w:rsidRPr="00FC2D31" w:rsidRDefault="007B4995" w:rsidP="007763CF">
      <w:pPr>
        <w:pStyle w:val="BodyText"/>
        <w:spacing w:line="360" w:lineRule="auto"/>
        <w:ind w:right="112"/>
        <w:jc w:val="both"/>
        <w:rPr>
          <w:sz w:val="20"/>
          <w:szCs w:val="20"/>
        </w:rPr>
      </w:pPr>
      <w:r w:rsidRPr="00FC2D31">
        <w:rPr>
          <w:sz w:val="20"/>
          <w:szCs w:val="20"/>
        </w:rPr>
        <w:t xml:space="preserve">As required by law and also for the purpose of providing guidelines to manufacturing industries, EMA published a Concept Paper  </w:t>
      </w:r>
      <w:r w:rsidR="00C037E1">
        <w:rPr>
          <w:sz w:val="20"/>
          <w:szCs w:val="20"/>
        </w:rPr>
        <w:t>together with</w:t>
      </w:r>
      <w:r w:rsidRPr="00FC2D31">
        <w:rPr>
          <w:sz w:val="20"/>
          <w:szCs w:val="20"/>
        </w:rPr>
        <w:t xml:space="preserve"> </w:t>
      </w:r>
      <w:r w:rsidR="00C037E1">
        <w:rPr>
          <w:sz w:val="20"/>
          <w:szCs w:val="20"/>
        </w:rPr>
        <w:t>a set of</w:t>
      </w:r>
      <w:r w:rsidRPr="00FC2D31">
        <w:rPr>
          <w:sz w:val="20"/>
          <w:szCs w:val="20"/>
        </w:rPr>
        <w:t xml:space="preserve"> guidelines</w:t>
      </w:r>
      <w:r w:rsidR="00C037E1">
        <w:rPr>
          <w:sz w:val="20"/>
          <w:szCs w:val="20"/>
        </w:rPr>
        <w:t>: general ones</w:t>
      </w:r>
      <w:r w:rsidRPr="00FC2D31">
        <w:rPr>
          <w:sz w:val="20"/>
          <w:szCs w:val="20"/>
        </w:rPr>
        <w:t xml:space="preserve"> for biosimilar products, </w:t>
      </w:r>
      <w:r w:rsidR="00C037E1">
        <w:rPr>
          <w:sz w:val="20"/>
          <w:szCs w:val="20"/>
        </w:rPr>
        <w:t xml:space="preserve">specific ones for the </w:t>
      </w:r>
      <w:r w:rsidRPr="00FC2D31">
        <w:rPr>
          <w:sz w:val="20"/>
          <w:szCs w:val="20"/>
        </w:rPr>
        <w:t xml:space="preserve">CTD (Common Technical Document) </w:t>
      </w:r>
      <w:r w:rsidR="00C037E1">
        <w:rPr>
          <w:sz w:val="20"/>
          <w:szCs w:val="20"/>
        </w:rPr>
        <w:t>form</w:t>
      </w:r>
      <w:r w:rsidRPr="00FC2D31">
        <w:rPr>
          <w:sz w:val="20"/>
          <w:szCs w:val="20"/>
        </w:rPr>
        <w:t xml:space="preserve"> (referring to specific aspects demonstrating biosimilarity with respect to parameters of quality, clinical and nonclinical studies)</w:t>
      </w:r>
      <w:r w:rsidR="00B728CF">
        <w:rPr>
          <w:sz w:val="20"/>
          <w:szCs w:val="20"/>
        </w:rPr>
        <w:t>,</w:t>
      </w:r>
      <w:r w:rsidRPr="00FC2D31">
        <w:rPr>
          <w:sz w:val="20"/>
          <w:szCs w:val="20"/>
        </w:rPr>
        <w:t xml:space="preserve"> and </w:t>
      </w:r>
      <w:r w:rsidR="00B728CF">
        <w:rPr>
          <w:sz w:val="20"/>
          <w:szCs w:val="20"/>
        </w:rPr>
        <w:t xml:space="preserve">additional </w:t>
      </w:r>
      <w:r w:rsidRPr="00FC2D31">
        <w:rPr>
          <w:sz w:val="20"/>
          <w:szCs w:val="20"/>
        </w:rPr>
        <w:t xml:space="preserve">specific </w:t>
      </w:r>
      <w:r w:rsidR="00373B33">
        <w:rPr>
          <w:sz w:val="20"/>
          <w:szCs w:val="20"/>
        </w:rPr>
        <w:t>guidelines</w:t>
      </w:r>
      <w:r w:rsidRPr="00FC2D31">
        <w:rPr>
          <w:sz w:val="20"/>
          <w:szCs w:val="20"/>
        </w:rPr>
        <w:t xml:space="preserve"> for individual categories of biosimilar medicinal products (e.g. erythropoietins, growth hormones, G-CSF, monoclonal antibodies, </w:t>
      </w:r>
      <w:r w:rsidR="003413E0" w:rsidRPr="00FC2D31">
        <w:rPr>
          <w:sz w:val="20"/>
          <w:szCs w:val="20"/>
        </w:rPr>
        <w:t>etc.</w:t>
      </w:r>
      <w:r w:rsidRPr="00FC2D31">
        <w:rPr>
          <w:sz w:val="20"/>
          <w:szCs w:val="20"/>
        </w:rPr>
        <w:t xml:space="preserve"> ). The guidelines are regularly updated in order to incorporate the experience acquired with the </w:t>
      </w:r>
      <w:r w:rsidR="00504029" w:rsidRPr="00FC2D31">
        <w:rPr>
          <w:sz w:val="20"/>
          <w:szCs w:val="20"/>
        </w:rPr>
        <w:t>authorization</w:t>
      </w:r>
      <w:r w:rsidRPr="00FC2D31">
        <w:rPr>
          <w:sz w:val="20"/>
          <w:szCs w:val="20"/>
        </w:rPr>
        <w:t xml:space="preserve"> procedures of  biosimilar products already registered or undergoing registration, and to take account of developments in science and technology.</w:t>
      </w:r>
    </w:p>
    <w:p w:rsidR="007B4995" w:rsidRPr="00FC2D31" w:rsidRDefault="007B4995" w:rsidP="007763CF">
      <w:pPr>
        <w:spacing w:before="10" w:line="360" w:lineRule="auto"/>
        <w:rPr>
          <w:sz w:val="20"/>
          <w:szCs w:val="20"/>
        </w:rPr>
      </w:pPr>
    </w:p>
    <w:p w:rsidR="007B4995" w:rsidRPr="00FC2D31" w:rsidRDefault="007B4995" w:rsidP="007763CF">
      <w:pPr>
        <w:pStyle w:val="BodyText"/>
        <w:spacing w:line="360" w:lineRule="auto"/>
        <w:ind w:right="113"/>
        <w:jc w:val="both"/>
        <w:rPr>
          <w:color w:val="0000FF"/>
          <w:sz w:val="20"/>
          <w:szCs w:val="20"/>
        </w:rPr>
      </w:pPr>
      <w:r w:rsidRPr="00FC2D31">
        <w:rPr>
          <w:sz w:val="20"/>
          <w:szCs w:val="20"/>
        </w:rPr>
        <w:t xml:space="preserve">The various guidelines can be consulted on the specific page of the EMA's site at the following link: </w:t>
      </w:r>
      <w:r w:rsidRPr="00FC2D31">
        <w:rPr>
          <w:color w:val="0000FF"/>
          <w:sz w:val="20"/>
          <w:szCs w:val="20"/>
          <w:u w:val="single" w:color="0000FF"/>
        </w:rPr>
        <w:t>http://www.ema.europa.eu/ema/index.jsp?</w:t>
      </w:r>
      <w:r w:rsidRPr="00FC2D31">
        <w:rPr>
          <w:color w:val="0000FF"/>
          <w:sz w:val="20"/>
          <w:szCs w:val="20"/>
          <w:u w:val="single"/>
        </w:rPr>
        <w:t>curl=pages/regulation/general/general_content_0004</w:t>
      </w:r>
      <w:r w:rsidRPr="00FC2D31">
        <w:rPr>
          <w:color w:val="0000FF"/>
          <w:sz w:val="20"/>
          <w:szCs w:val="20"/>
        </w:rPr>
        <w:t xml:space="preserve"> </w:t>
      </w:r>
      <w:r w:rsidRPr="00FC2D31">
        <w:rPr>
          <w:color w:val="0000FF"/>
          <w:sz w:val="20"/>
          <w:szCs w:val="20"/>
          <w:u w:val="single"/>
        </w:rPr>
        <w:lastRenderedPageBreak/>
        <w:t>08.jsp&amp;mid=WC0b01ac058002958c&amp;jsenabled=true</w:t>
      </w:r>
    </w:p>
    <w:p w:rsidR="00B728CF" w:rsidRDefault="00B728CF" w:rsidP="007763CF">
      <w:pPr>
        <w:pStyle w:val="BodyText"/>
        <w:spacing w:line="360" w:lineRule="auto"/>
        <w:ind w:right="115"/>
        <w:jc w:val="both"/>
        <w:rPr>
          <w:sz w:val="20"/>
          <w:szCs w:val="20"/>
        </w:rPr>
      </w:pPr>
    </w:p>
    <w:p w:rsidR="007B4995" w:rsidRPr="00FC2D31" w:rsidRDefault="007B4995" w:rsidP="007763CF">
      <w:pPr>
        <w:pStyle w:val="BodyText"/>
        <w:spacing w:line="360" w:lineRule="auto"/>
        <w:ind w:right="115"/>
        <w:jc w:val="both"/>
        <w:rPr>
          <w:sz w:val="20"/>
          <w:szCs w:val="20"/>
        </w:rPr>
      </w:pPr>
      <w:r w:rsidRPr="00FC2D31">
        <w:rPr>
          <w:sz w:val="20"/>
          <w:szCs w:val="20"/>
        </w:rPr>
        <w:t xml:space="preserve">As the active principle of the biosimilar medicinal product is essentially similar but not identical to that of the reference biological medicinal product, the registration procedure for a biosimilar product is very different from that </w:t>
      </w:r>
      <w:r w:rsidR="00373B33">
        <w:rPr>
          <w:sz w:val="20"/>
          <w:szCs w:val="20"/>
        </w:rPr>
        <w:t>adopted</w:t>
      </w:r>
      <w:r w:rsidRPr="00FC2D31">
        <w:rPr>
          <w:sz w:val="20"/>
          <w:szCs w:val="20"/>
        </w:rPr>
        <w:t xml:space="preserve"> for equivalent products of </w:t>
      </w:r>
      <w:r w:rsidR="00504029" w:rsidRPr="00FC2D31">
        <w:rPr>
          <w:sz w:val="20"/>
          <w:szCs w:val="20"/>
        </w:rPr>
        <w:t>non-biological</w:t>
      </w:r>
      <w:r w:rsidRPr="00FC2D31">
        <w:rPr>
          <w:sz w:val="20"/>
          <w:szCs w:val="20"/>
        </w:rPr>
        <w:t xml:space="preserve"> medicines, </w:t>
      </w:r>
      <w:r w:rsidR="00B728CF">
        <w:rPr>
          <w:sz w:val="20"/>
          <w:szCs w:val="20"/>
        </w:rPr>
        <w:t>and for which it is</w:t>
      </w:r>
      <w:r w:rsidRPr="00FC2D31">
        <w:rPr>
          <w:sz w:val="20"/>
          <w:szCs w:val="20"/>
        </w:rPr>
        <w:t xml:space="preserve"> generally sufficient to submit the results of bioequivalent studies (Directive 2003/63/EC, Ann I, P.II).</w:t>
      </w:r>
    </w:p>
    <w:p w:rsidR="007B4995" w:rsidRPr="00FC2D31" w:rsidRDefault="00504029" w:rsidP="007763CF">
      <w:pPr>
        <w:pStyle w:val="BodyText"/>
        <w:spacing w:before="57" w:line="360" w:lineRule="auto"/>
        <w:ind w:right="112"/>
        <w:jc w:val="both"/>
        <w:rPr>
          <w:sz w:val="20"/>
          <w:szCs w:val="20"/>
        </w:rPr>
      </w:pPr>
      <w:r w:rsidRPr="00FC2D31">
        <w:rPr>
          <w:sz w:val="20"/>
          <w:szCs w:val="20"/>
        </w:rPr>
        <w:t xml:space="preserve">The law requires that the R&amp;D program </w:t>
      </w:r>
      <w:r w:rsidR="00373B33">
        <w:rPr>
          <w:sz w:val="20"/>
          <w:szCs w:val="20"/>
        </w:rPr>
        <w:t>is</w:t>
      </w:r>
      <w:r w:rsidRPr="00FC2D31">
        <w:rPr>
          <w:sz w:val="20"/>
          <w:szCs w:val="20"/>
        </w:rPr>
        <w:t xml:space="preserve"> designed to demonstrate "biosimilarity" understood as the comparability between a biosimilar and its reference product, through a "</w:t>
      </w:r>
      <w:r w:rsidRPr="00FC2D31">
        <w:rPr>
          <w:b/>
          <w:sz w:val="20"/>
          <w:szCs w:val="20"/>
        </w:rPr>
        <w:t>comparability operation</w:t>
      </w:r>
      <w:r w:rsidRPr="00FC2D31">
        <w:rPr>
          <w:sz w:val="20"/>
          <w:szCs w:val="20"/>
        </w:rPr>
        <w:t xml:space="preserve">", namely a set of stepwise procedures </w:t>
      </w:r>
      <w:r w:rsidR="00B728CF">
        <w:rPr>
          <w:sz w:val="20"/>
          <w:szCs w:val="20"/>
        </w:rPr>
        <w:t>commencing from</w:t>
      </w:r>
      <w:r w:rsidRPr="00FC2D31">
        <w:rPr>
          <w:sz w:val="20"/>
          <w:szCs w:val="20"/>
        </w:rPr>
        <w:t xml:space="preserve"> quality studies (physical, chemic</w:t>
      </w:r>
      <w:r w:rsidR="00B728CF">
        <w:rPr>
          <w:sz w:val="20"/>
          <w:szCs w:val="20"/>
        </w:rPr>
        <w:t xml:space="preserve">al and biological compatibility </w:t>
      </w:r>
      <w:r w:rsidRPr="00FC2D31">
        <w:rPr>
          <w:sz w:val="20"/>
          <w:szCs w:val="20"/>
        </w:rPr>
        <w:t xml:space="preserve">and </w:t>
      </w:r>
      <w:r w:rsidR="00B728CF">
        <w:rPr>
          <w:sz w:val="20"/>
          <w:szCs w:val="20"/>
        </w:rPr>
        <w:t>continuing</w:t>
      </w:r>
      <w:r w:rsidRPr="00FC2D31">
        <w:rPr>
          <w:sz w:val="20"/>
          <w:szCs w:val="20"/>
        </w:rPr>
        <w:t xml:space="preserve"> with the evaluation of nonclinical (comparative nonclinical studies) and clinical (comparative clinical trials) comparability in order to evaluate the effectiveness and safety of the product, including </w:t>
      </w:r>
      <w:r w:rsidR="00373B33">
        <w:rPr>
          <w:sz w:val="20"/>
          <w:szCs w:val="20"/>
        </w:rPr>
        <w:t>immunogenicity studies</w:t>
      </w:r>
      <w:r w:rsidRPr="00FC2D31">
        <w:rPr>
          <w:sz w:val="20"/>
          <w:szCs w:val="20"/>
        </w:rPr>
        <w:t xml:space="preserve">. </w:t>
      </w:r>
      <w:r w:rsidR="007B4995" w:rsidRPr="00FC2D31">
        <w:rPr>
          <w:sz w:val="20"/>
          <w:szCs w:val="20"/>
        </w:rPr>
        <w:t xml:space="preserve">The primary objective of the comparability operation is to demonstrate similarity </w:t>
      </w:r>
      <w:r w:rsidR="007D515F">
        <w:rPr>
          <w:sz w:val="20"/>
          <w:szCs w:val="20"/>
        </w:rPr>
        <w:t>through</w:t>
      </w:r>
      <w:r w:rsidR="007B4995" w:rsidRPr="00FC2D31">
        <w:rPr>
          <w:sz w:val="20"/>
          <w:szCs w:val="20"/>
        </w:rPr>
        <w:t xml:space="preserve"> studies designed to identify any quality differences between the biosimilar and the reference product, and ensure that such differences </w:t>
      </w:r>
      <w:r w:rsidR="00373B33">
        <w:rPr>
          <w:sz w:val="20"/>
          <w:szCs w:val="20"/>
        </w:rPr>
        <w:t>do not translate</w:t>
      </w:r>
      <w:r w:rsidR="007B4995" w:rsidRPr="00FC2D31">
        <w:rPr>
          <w:sz w:val="20"/>
          <w:szCs w:val="20"/>
        </w:rPr>
        <w:t xml:space="preserve"> into significant clinical differences in </w:t>
      </w:r>
      <w:r w:rsidR="00B728CF">
        <w:rPr>
          <w:sz w:val="20"/>
          <w:szCs w:val="20"/>
        </w:rPr>
        <w:t>either</w:t>
      </w:r>
      <w:r w:rsidR="007B4995" w:rsidRPr="00FC2D31">
        <w:rPr>
          <w:sz w:val="20"/>
          <w:szCs w:val="20"/>
        </w:rPr>
        <w:t xml:space="preserve"> safety </w:t>
      </w:r>
      <w:r w:rsidR="00B728CF">
        <w:rPr>
          <w:sz w:val="20"/>
          <w:szCs w:val="20"/>
        </w:rPr>
        <w:t>or</w:t>
      </w:r>
      <w:r w:rsidR="007B4995" w:rsidRPr="00FC2D31">
        <w:rPr>
          <w:sz w:val="20"/>
          <w:szCs w:val="20"/>
        </w:rPr>
        <w:t xml:space="preserve"> effectiveness as between the two products.</w:t>
      </w:r>
    </w:p>
    <w:p w:rsidR="007B4995" w:rsidRPr="00FC2D31" w:rsidRDefault="007B4995" w:rsidP="007763CF">
      <w:pPr>
        <w:spacing w:before="2" w:line="360" w:lineRule="auto"/>
        <w:rPr>
          <w:sz w:val="20"/>
          <w:szCs w:val="20"/>
        </w:rPr>
      </w:pPr>
    </w:p>
    <w:p w:rsidR="007B4995" w:rsidRPr="00FC2D31" w:rsidRDefault="007B4995" w:rsidP="007763CF">
      <w:pPr>
        <w:pStyle w:val="BodyText"/>
        <w:spacing w:line="360" w:lineRule="auto"/>
        <w:ind w:right="112"/>
        <w:jc w:val="both"/>
        <w:rPr>
          <w:sz w:val="20"/>
          <w:szCs w:val="20"/>
        </w:rPr>
      </w:pPr>
      <w:r w:rsidRPr="00FC2D31">
        <w:rPr>
          <w:sz w:val="20"/>
          <w:szCs w:val="20"/>
        </w:rPr>
        <w:t xml:space="preserve">In </w:t>
      </w:r>
      <w:r w:rsidR="00B728CF">
        <w:rPr>
          <w:sz w:val="20"/>
          <w:szCs w:val="20"/>
        </w:rPr>
        <w:t xml:space="preserve">product </w:t>
      </w:r>
      <w:r w:rsidRPr="00FC2D31">
        <w:rPr>
          <w:sz w:val="20"/>
          <w:szCs w:val="20"/>
        </w:rPr>
        <w:t xml:space="preserve">quality studies, comparability is established with reference to the molecular structure and must be demonstrated by a complete analytical </w:t>
      </w:r>
      <w:r w:rsidR="00504029" w:rsidRPr="00FC2D31">
        <w:rPr>
          <w:sz w:val="20"/>
          <w:szCs w:val="20"/>
        </w:rPr>
        <w:t>characterization</w:t>
      </w:r>
      <w:r w:rsidRPr="00FC2D31">
        <w:rPr>
          <w:sz w:val="20"/>
          <w:szCs w:val="20"/>
        </w:rPr>
        <w:t>, receptor binding studies  (if applicable), biotests  and adequate studies on animals</w:t>
      </w:r>
      <w:r w:rsidR="00373B33">
        <w:rPr>
          <w:sz w:val="20"/>
          <w:szCs w:val="20"/>
        </w:rPr>
        <w:t>, which</w:t>
      </w:r>
      <w:r w:rsidRPr="00FC2D31">
        <w:rPr>
          <w:sz w:val="20"/>
          <w:szCs w:val="20"/>
        </w:rPr>
        <w:t xml:space="preserve"> </w:t>
      </w:r>
      <w:r w:rsidR="00B728CF">
        <w:rPr>
          <w:sz w:val="20"/>
          <w:szCs w:val="20"/>
        </w:rPr>
        <w:t>must be</w:t>
      </w:r>
      <w:r w:rsidRPr="00FC2D31">
        <w:rPr>
          <w:sz w:val="20"/>
          <w:szCs w:val="20"/>
        </w:rPr>
        <w:t xml:space="preserve"> performed in </w:t>
      </w:r>
      <w:r w:rsidR="00B728CF">
        <w:rPr>
          <w:sz w:val="20"/>
          <w:szCs w:val="20"/>
        </w:rPr>
        <w:t>a rigorously</w:t>
      </w:r>
      <w:r w:rsidRPr="00FC2D31">
        <w:rPr>
          <w:sz w:val="20"/>
          <w:szCs w:val="20"/>
        </w:rPr>
        <w:t xml:space="preserve"> comparative manner between the biosimilar and the reference product. The preclinical and clinical comparability operation is carried out through specific control studies to evaluate toxicological properties, pharmacokinetic and pharmodynamic profile</w:t>
      </w:r>
      <w:r w:rsidR="00B728CF">
        <w:rPr>
          <w:sz w:val="20"/>
          <w:szCs w:val="20"/>
        </w:rPr>
        <w:t>s</w:t>
      </w:r>
      <w:r w:rsidRPr="00FC2D31">
        <w:rPr>
          <w:sz w:val="20"/>
          <w:szCs w:val="20"/>
        </w:rPr>
        <w:t>, safety and clinical effectiveness.</w:t>
      </w:r>
    </w:p>
    <w:p w:rsidR="007B4995" w:rsidRPr="00FC2D31" w:rsidRDefault="007B4995" w:rsidP="007763CF">
      <w:pPr>
        <w:spacing w:line="360" w:lineRule="auto"/>
        <w:rPr>
          <w:sz w:val="20"/>
          <w:szCs w:val="20"/>
        </w:rPr>
      </w:pPr>
    </w:p>
    <w:p w:rsidR="007B4995" w:rsidRPr="00FC2D31" w:rsidRDefault="007B4995" w:rsidP="007763CF">
      <w:pPr>
        <w:pStyle w:val="BodyText"/>
        <w:spacing w:line="360" w:lineRule="auto"/>
        <w:ind w:right="113"/>
        <w:jc w:val="both"/>
        <w:rPr>
          <w:sz w:val="20"/>
          <w:szCs w:val="20"/>
        </w:rPr>
      </w:pPr>
      <w:r w:rsidRPr="00FC2D31">
        <w:rPr>
          <w:sz w:val="20"/>
          <w:szCs w:val="20"/>
        </w:rPr>
        <w:t>Therefore, the comparability operation is based upon a robust head-to-head comparison between the biosimilar and the reference medicinal product according to specific standards of quality, safety and effectiveness and by having defined, a priori, differences that can be deemed acceptable insofar as not clinically relevant.</w:t>
      </w:r>
    </w:p>
    <w:p w:rsidR="007B4995" w:rsidRPr="00FC2D31" w:rsidRDefault="007B4995" w:rsidP="007763CF">
      <w:pPr>
        <w:spacing w:line="360" w:lineRule="auto"/>
        <w:rPr>
          <w:sz w:val="20"/>
          <w:szCs w:val="20"/>
        </w:rPr>
      </w:pPr>
    </w:p>
    <w:p w:rsidR="007B4995" w:rsidRPr="00FC2D31" w:rsidRDefault="007B4995" w:rsidP="007763CF">
      <w:pPr>
        <w:spacing w:before="19" w:line="360" w:lineRule="auto"/>
        <w:rPr>
          <w:sz w:val="20"/>
          <w:szCs w:val="20"/>
        </w:rPr>
      </w:pPr>
    </w:p>
    <w:p w:rsidR="007B4995" w:rsidRPr="00FC2D31" w:rsidRDefault="007B4995" w:rsidP="007763CF">
      <w:pPr>
        <w:pStyle w:val="Heading1"/>
        <w:spacing w:line="360" w:lineRule="auto"/>
        <w:ind w:right="1376"/>
        <w:jc w:val="both"/>
        <w:rPr>
          <w:b w:val="0"/>
          <w:sz w:val="20"/>
          <w:szCs w:val="20"/>
        </w:rPr>
      </w:pPr>
      <w:r w:rsidRPr="00FC2D31">
        <w:rPr>
          <w:sz w:val="20"/>
          <w:szCs w:val="20"/>
        </w:rPr>
        <w:t>Denomination and identification of biological medicinal products, including biosimilar products</w:t>
      </w:r>
    </w:p>
    <w:p w:rsidR="007B4995" w:rsidRPr="00FC2D31" w:rsidRDefault="007B4995" w:rsidP="007763CF">
      <w:pPr>
        <w:spacing w:before="6" w:line="360" w:lineRule="auto"/>
        <w:rPr>
          <w:sz w:val="20"/>
          <w:szCs w:val="20"/>
        </w:rPr>
      </w:pPr>
    </w:p>
    <w:p w:rsidR="007B4995" w:rsidRPr="00FC2D31" w:rsidRDefault="007B4995" w:rsidP="007763CF">
      <w:pPr>
        <w:spacing w:line="360" w:lineRule="auto"/>
        <w:rPr>
          <w:sz w:val="20"/>
          <w:szCs w:val="20"/>
        </w:rPr>
      </w:pPr>
    </w:p>
    <w:p w:rsidR="007B4995" w:rsidRPr="00FC2D31" w:rsidRDefault="007B4995" w:rsidP="00BD040B">
      <w:pPr>
        <w:pStyle w:val="BodyText"/>
        <w:spacing w:line="360" w:lineRule="auto"/>
        <w:ind w:right="112"/>
        <w:jc w:val="both"/>
        <w:rPr>
          <w:sz w:val="20"/>
          <w:szCs w:val="20"/>
        </w:rPr>
      </w:pPr>
      <w:r w:rsidRPr="00FC2D31">
        <w:rPr>
          <w:sz w:val="20"/>
          <w:szCs w:val="20"/>
        </w:rPr>
        <w:t xml:space="preserve">In compliance with European law, all medicinal products holding marketing </w:t>
      </w:r>
      <w:r w:rsidR="00504029" w:rsidRPr="00FC2D31">
        <w:rPr>
          <w:sz w:val="20"/>
          <w:szCs w:val="20"/>
        </w:rPr>
        <w:t>authorizations</w:t>
      </w:r>
      <w:r w:rsidRPr="00FC2D31">
        <w:rPr>
          <w:sz w:val="20"/>
          <w:szCs w:val="20"/>
        </w:rPr>
        <w:t xml:space="preserve"> must </w:t>
      </w:r>
      <w:r w:rsidR="00BD040B">
        <w:rPr>
          <w:sz w:val="20"/>
          <w:szCs w:val="20"/>
        </w:rPr>
        <w:t>bear</w:t>
      </w:r>
      <w:r w:rsidRPr="00FC2D31">
        <w:rPr>
          <w:sz w:val="20"/>
          <w:szCs w:val="20"/>
        </w:rPr>
        <w:t xml:space="preserve"> a commercial denomination represented by an invented name, a brand, or by the </w:t>
      </w:r>
      <w:r w:rsidR="00BD040B">
        <w:rPr>
          <w:sz w:val="20"/>
          <w:szCs w:val="20"/>
        </w:rPr>
        <w:t>denomination</w:t>
      </w:r>
      <w:r w:rsidRPr="00FC2D31">
        <w:rPr>
          <w:sz w:val="20"/>
          <w:szCs w:val="20"/>
        </w:rPr>
        <w:t xml:space="preserve"> of the active principle</w:t>
      </w:r>
      <w:r w:rsidR="00BD040B">
        <w:rPr>
          <w:rStyle w:val="FootnoteReference"/>
          <w:sz w:val="20"/>
          <w:szCs w:val="20"/>
        </w:rPr>
        <w:footnoteReference w:id="3"/>
      </w:r>
      <w:r w:rsidRPr="00FC2D31">
        <w:rPr>
          <w:sz w:val="20"/>
          <w:szCs w:val="20"/>
        </w:rPr>
        <w:t xml:space="preserve"> followed by a brand name or by</w:t>
      </w:r>
      <w:r w:rsidR="00861C5F" w:rsidRPr="00FC2D31">
        <w:rPr>
          <w:sz w:val="20"/>
          <w:szCs w:val="20"/>
        </w:rPr>
        <w:t xml:space="preserve"> the name of the company </w:t>
      </w:r>
      <w:r w:rsidRPr="00FC2D31">
        <w:rPr>
          <w:sz w:val="20"/>
          <w:szCs w:val="20"/>
        </w:rPr>
        <w:t xml:space="preserve">holding the marketing </w:t>
      </w:r>
      <w:r w:rsidR="00504029" w:rsidRPr="00FC2D31">
        <w:rPr>
          <w:sz w:val="20"/>
          <w:szCs w:val="20"/>
        </w:rPr>
        <w:t>authorization</w:t>
      </w:r>
      <w:r w:rsidRPr="00FC2D31">
        <w:rPr>
          <w:sz w:val="20"/>
          <w:szCs w:val="20"/>
        </w:rPr>
        <w:t xml:space="preserve">. Therefore, every biological medicinal </w:t>
      </w:r>
      <w:r w:rsidR="00504029" w:rsidRPr="00FC2D31">
        <w:rPr>
          <w:sz w:val="20"/>
          <w:szCs w:val="20"/>
        </w:rPr>
        <w:t>product</w:t>
      </w:r>
      <w:r w:rsidRPr="00FC2D31">
        <w:rPr>
          <w:sz w:val="20"/>
          <w:szCs w:val="20"/>
        </w:rPr>
        <w:t xml:space="preserve">, including biosimilars, can be clearly identified </w:t>
      </w:r>
      <w:r w:rsidR="006F53B7">
        <w:rPr>
          <w:sz w:val="20"/>
          <w:szCs w:val="20"/>
        </w:rPr>
        <w:t>by</w:t>
      </w:r>
      <w:r w:rsidRPr="00FC2D31">
        <w:rPr>
          <w:sz w:val="20"/>
          <w:szCs w:val="20"/>
        </w:rPr>
        <w:t xml:space="preserve"> a unique denomination formally approved by EMA as part of the </w:t>
      </w:r>
      <w:r w:rsidR="00504029" w:rsidRPr="00FC2D31">
        <w:rPr>
          <w:sz w:val="20"/>
          <w:szCs w:val="20"/>
        </w:rPr>
        <w:t>authorization</w:t>
      </w:r>
      <w:r w:rsidRPr="00FC2D31">
        <w:rPr>
          <w:sz w:val="20"/>
          <w:szCs w:val="20"/>
        </w:rPr>
        <w:t xml:space="preserve"> process. The approved commercial denomination, together with the batch </w:t>
      </w:r>
      <w:r w:rsidRPr="00FC2D31">
        <w:rPr>
          <w:sz w:val="20"/>
          <w:szCs w:val="20"/>
        </w:rPr>
        <w:lastRenderedPageBreak/>
        <w:t xml:space="preserve">number, is important </w:t>
      </w:r>
      <w:r w:rsidR="006F53B7">
        <w:rPr>
          <w:sz w:val="20"/>
          <w:szCs w:val="20"/>
        </w:rPr>
        <w:t>if</w:t>
      </w:r>
      <w:r w:rsidRPr="00FC2D31">
        <w:rPr>
          <w:sz w:val="20"/>
          <w:szCs w:val="20"/>
        </w:rPr>
        <w:t xml:space="preserve"> the medicinal product </w:t>
      </w:r>
      <w:r w:rsidR="006F53B7">
        <w:rPr>
          <w:sz w:val="20"/>
          <w:szCs w:val="20"/>
        </w:rPr>
        <w:t>is to be clearly identified for</w:t>
      </w:r>
      <w:r w:rsidRPr="00FC2D31">
        <w:rPr>
          <w:sz w:val="20"/>
          <w:szCs w:val="20"/>
        </w:rPr>
        <w:t xml:space="preserve"> monitoring adverse reactions and collecting information on the product and </w:t>
      </w:r>
      <w:r w:rsidR="006F53B7">
        <w:rPr>
          <w:sz w:val="20"/>
          <w:szCs w:val="20"/>
        </w:rPr>
        <w:t>hence</w:t>
      </w:r>
      <w:r w:rsidRPr="00FC2D31">
        <w:rPr>
          <w:sz w:val="20"/>
          <w:szCs w:val="20"/>
        </w:rPr>
        <w:t xml:space="preserve"> guarantee</w:t>
      </w:r>
      <w:r w:rsidR="006F53B7">
        <w:rPr>
          <w:sz w:val="20"/>
          <w:szCs w:val="20"/>
        </w:rPr>
        <w:t>ing</w:t>
      </w:r>
      <w:r w:rsidRPr="00FC2D31">
        <w:rPr>
          <w:sz w:val="20"/>
          <w:szCs w:val="20"/>
        </w:rPr>
        <w:t xml:space="preserve"> traceability.</w:t>
      </w:r>
    </w:p>
    <w:p w:rsidR="007B4995" w:rsidRPr="00FC2D31" w:rsidRDefault="007B4995" w:rsidP="007763CF">
      <w:pPr>
        <w:spacing w:line="360" w:lineRule="auto"/>
        <w:rPr>
          <w:sz w:val="20"/>
          <w:szCs w:val="20"/>
        </w:rPr>
      </w:pPr>
    </w:p>
    <w:p w:rsidR="007B4995" w:rsidRPr="00FC2D31" w:rsidRDefault="007B4995" w:rsidP="007763CF">
      <w:pPr>
        <w:spacing w:before="19" w:line="360" w:lineRule="auto"/>
        <w:rPr>
          <w:sz w:val="20"/>
          <w:szCs w:val="20"/>
        </w:rPr>
      </w:pPr>
    </w:p>
    <w:p w:rsidR="007B4995" w:rsidRPr="00FC2D31" w:rsidRDefault="007B4995" w:rsidP="007763CF">
      <w:pPr>
        <w:pStyle w:val="Heading1"/>
        <w:spacing w:line="360" w:lineRule="auto"/>
        <w:ind w:right="6490"/>
        <w:jc w:val="both"/>
        <w:rPr>
          <w:b w:val="0"/>
          <w:sz w:val="20"/>
          <w:szCs w:val="20"/>
        </w:rPr>
      </w:pPr>
      <w:r w:rsidRPr="00FC2D31">
        <w:rPr>
          <w:sz w:val="20"/>
          <w:szCs w:val="20"/>
        </w:rPr>
        <w:t>Safety of biosimilar products</w:t>
      </w:r>
    </w:p>
    <w:p w:rsidR="007B4995" w:rsidRPr="00FC2D31" w:rsidRDefault="007B4995" w:rsidP="007763CF">
      <w:pPr>
        <w:spacing w:before="6" w:line="360" w:lineRule="auto"/>
        <w:rPr>
          <w:sz w:val="20"/>
          <w:szCs w:val="20"/>
        </w:rPr>
      </w:pPr>
    </w:p>
    <w:p w:rsidR="007B4995" w:rsidRPr="00FC2D31" w:rsidRDefault="007B4995" w:rsidP="007763CF">
      <w:pPr>
        <w:spacing w:line="360" w:lineRule="auto"/>
        <w:rPr>
          <w:sz w:val="20"/>
          <w:szCs w:val="20"/>
        </w:rPr>
      </w:pPr>
    </w:p>
    <w:p w:rsidR="007B4995" w:rsidRPr="00FC2D31" w:rsidRDefault="007B4995" w:rsidP="007763CF">
      <w:pPr>
        <w:pStyle w:val="BodyText"/>
        <w:spacing w:line="360" w:lineRule="auto"/>
        <w:ind w:right="112"/>
        <w:jc w:val="both"/>
        <w:rPr>
          <w:sz w:val="20"/>
          <w:szCs w:val="20"/>
        </w:rPr>
      </w:pPr>
      <w:r w:rsidRPr="00FC2D31">
        <w:rPr>
          <w:sz w:val="20"/>
          <w:szCs w:val="20"/>
        </w:rPr>
        <w:t xml:space="preserve">Biosimilar medicinal products must be produced according to the same qualitative standards as those required for other medicinal products (e.g. </w:t>
      </w:r>
      <w:r w:rsidR="006F53B7">
        <w:rPr>
          <w:sz w:val="20"/>
          <w:szCs w:val="20"/>
        </w:rPr>
        <w:t xml:space="preserve">the </w:t>
      </w:r>
      <w:r w:rsidRPr="00FC2D31">
        <w:rPr>
          <w:sz w:val="20"/>
          <w:szCs w:val="20"/>
        </w:rPr>
        <w:t xml:space="preserve">products of reference chemical and biological synthesis). The manufacturers of biological and biosimilar medicinal products </w:t>
      </w:r>
      <w:r w:rsidR="006F53B7">
        <w:rPr>
          <w:sz w:val="20"/>
          <w:szCs w:val="20"/>
        </w:rPr>
        <w:t xml:space="preserve">must, </w:t>
      </w:r>
      <w:r w:rsidR="006F53B7" w:rsidRPr="00FC2D31">
        <w:rPr>
          <w:sz w:val="20"/>
          <w:szCs w:val="20"/>
        </w:rPr>
        <w:t xml:space="preserve">in compliance with </w:t>
      </w:r>
      <w:r w:rsidR="006F53B7">
        <w:rPr>
          <w:sz w:val="20"/>
          <w:szCs w:val="20"/>
        </w:rPr>
        <w:t>law, put in place</w:t>
      </w:r>
      <w:r w:rsidRPr="00FC2D31">
        <w:rPr>
          <w:sz w:val="20"/>
          <w:szCs w:val="20"/>
        </w:rPr>
        <w:t xml:space="preserve"> a pharmacovigilance system </w:t>
      </w:r>
      <w:r w:rsidR="006F53B7">
        <w:rPr>
          <w:sz w:val="20"/>
          <w:szCs w:val="20"/>
        </w:rPr>
        <w:t xml:space="preserve">to monitor </w:t>
      </w:r>
      <w:r w:rsidR="00373B33">
        <w:rPr>
          <w:sz w:val="20"/>
          <w:szCs w:val="20"/>
        </w:rPr>
        <w:t>a</w:t>
      </w:r>
      <w:r w:rsidR="006F53B7">
        <w:rPr>
          <w:sz w:val="20"/>
          <w:szCs w:val="20"/>
        </w:rPr>
        <w:t xml:space="preserve"> product's safety</w:t>
      </w:r>
      <w:r w:rsidRPr="00FC2D31">
        <w:rPr>
          <w:sz w:val="20"/>
          <w:szCs w:val="20"/>
        </w:rPr>
        <w:t xml:space="preserve">. The pharmacovigilance system </w:t>
      </w:r>
      <w:r w:rsidR="00F90D51">
        <w:rPr>
          <w:sz w:val="20"/>
          <w:szCs w:val="20"/>
        </w:rPr>
        <w:t>for such products</w:t>
      </w:r>
      <w:r w:rsidR="00F90D51" w:rsidRPr="00FC2D31">
        <w:rPr>
          <w:sz w:val="20"/>
          <w:szCs w:val="20"/>
        </w:rPr>
        <w:t>, as for all medicinal products</w:t>
      </w:r>
      <w:r w:rsidR="00F90D51">
        <w:rPr>
          <w:sz w:val="20"/>
          <w:szCs w:val="20"/>
        </w:rPr>
        <w:t>,</w:t>
      </w:r>
      <w:r w:rsidR="00F90D51" w:rsidRPr="00FC2D31">
        <w:rPr>
          <w:sz w:val="20"/>
          <w:szCs w:val="20"/>
        </w:rPr>
        <w:t xml:space="preserve"> </w:t>
      </w:r>
      <w:r w:rsidRPr="00FC2D31">
        <w:rPr>
          <w:sz w:val="20"/>
          <w:szCs w:val="20"/>
        </w:rPr>
        <w:t xml:space="preserve">is </w:t>
      </w:r>
      <w:r w:rsidR="00373B33">
        <w:rPr>
          <w:sz w:val="20"/>
          <w:szCs w:val="20"/>
        </w:rPr>
        <w:t>supervised by</w:t>
      </w:r>
      <w:r w:rsidR="00F90D51">
        <w:rPr>
          <w:sz w:val="20"/>
          <w:szCs w:val="20"/>
        </w:rPr>
        <w:t xml:space="preserve"> regulatory authorities</w:t>
      </w:r>
      <w:r w:rsidR="00373B33">
        <w:rPr>
          <w:sz w:val="20"/>
          <w:szCs w:val="20"/>
        </w:rPr>
        <w:t xml:space="preserve"> that</w:t>
      </w:r>
      <w:r w:rsidR="00F90D51">
        <w:rPr>
          <w:sz w:val="20"/>
          <w:szCs w:val="20"/>
        </w:rPr>
        <w:t xml:space="preserve"> carry out </w:t>
      </w:r>
      <w:r w:rsidRPr="00FC2D31">
        <w:rPr>
          <w:sz w:val="20"/>
          <w:szCs w:val="20"/>
        </w:rPr>
        <w:t xml:space="preserve">periodic inspections on the product, the production facilities and the monitoring system </w:t>
      </w:r>
      <w:r w:rsidR="00F90D51">
        <w:rPr>
          <w:sz w:val="20"/>
          <w:szCs w:val="20"/>
        </w:rPr>
        <w:t>at</w:t>
      </w:r>
      <w:r w:rsidRPr="00FC2D31">
        <w:rPr>
          <w:sz w:val="20"/>
          <w:szCs w:val="20"/>
        </w:rPr>
        <w:t xml:space="preserve"> both the pre-marketing </w:t>
      </w:r>
      <w:r w:rsidR="00F90D51">
        <w:rPr>
          <w:sz w:val="20"/>
          <w:szCs w:val="20"/>
        </w:rPr>
        <w:t>and post-</w:t>
      </w:r>
      <w:r w:rsidRPr="00FC2D31">
        <w:rPr>
          <w:sz w:val="20"/>
          <w:szCs w:val="20"/>
        </w:rPr>
        <w:t xml:space="preserve">marketing </w:t>
      </w:r>
      <w:r w:rsidR="00504029" w:rsidRPr="00FC2D31">
        <w:rPr>
          <w:sz w:val="20"/>
          <w:szCs w:val="20"/>
        </w:rPr>
        <w:t>authorization</w:t>
      </w:r>
      <w:r w:rsidRPr="00FC2D31">
        <w:rPr>
          <w:sz w:val="20"/>
          <w:szCs w:val="20"/>
        </w:rPr>
        <w:t xml:space="preserve"> phases. Each </w:t>
      </w:r>
      <w:r w:rsidR="00F90D51">
        <w:rPr>
          <w:sz w:val="20"/>
          <w:szCs w:val="20"/>
        </w:rPr>
        <w:t>company</w:t>
      </w:r>
      <w:r w:rsidRPr="00FC2D31">
        <w:rPr>
          <w:sz w:val="20"/>
          <w:szCs w:val="20"/>
        </w:rPr>
        <w:t xml:space="preserve"> is also required to submit a risk management plan </w:t>
      </w:r>
      <w:r w:rsidR="00F90D51">
        <w:rPr>
          <w:sz w:val="20"/>
          <w:szCs w:val="20"/>
        </w:rPr>
        <w:t>when filing an</w:t>
      </w:r>
      <w:r w:rsidRPr="00FC2D31">
        <w:rPr>
          <w:sz w:val="20"/>
          <w:szCs w:val="20"/>
        </w:rPr>
        <w:t xml:space="preserve"> application for marketing </w:t>
      </w:r>
      <w:r w:rsidR="00504029" w:rsidRPr="00FC2D31">
        <w:rPr>
          <w:sz w:val="20"/>
          <w:szCs w:val="20"/>
        </w:rPr>
        <w:t>authorization</w:t>
      </w:r>
      <w:r w:rsidRPr="00FC2D31">
        <w:rPr>
          <w:sz w:val="20"/>
          <w:szCs w:val="20"/>
        </w:rPr>
        <w:t xml:space="preserve"> </w:t>
      </w:r>
      <w:r w:rsidR="00F90D51">
        <w:rPr>
          <w:sz w:val="20"/>
          <w:szCs w:val="20"/>
        </w:rPr>
        <w:t>(</w:t>
      </w:r>
      <w:r w:rsidRPr="00FC2D31">
        <w:rPr>
          <w:sz w:val="20"/>
          <w:szCs w:val="20"/>
        </w:rPr>
        <w:t xml:space="preserve">EU-RMP). </w:t>
      </w:r>
      <w:r w:rsidR="00F90D51">
        <w:rPr>
          <w:sz w:val="20"/>
          <w:szCs w:val="20"/>
        </w:rPr>
        <w:t>This system</w:t>
      </w:r>
      <w:r w:rsidRPr="00FC2D31">
        <w:rPr>
          <w:sz w:val="20"/>
          <w:szCs w:val="20"/>
        </w:rPr>
        <w:t xml:space="preserve"> must illustrate the risk management system in detail by describing the product's safety profile, taking due account of the safety profile </w:t>
      </w:r>
      <w:r w:rsidR="00F90D51">
        <w:rPr>
          <w:sz w:val="20"/>
          <w:szCs w:val="20"/>
        </w:rPr>
        <w:t>known</w:t>
      </w:r>
      <w:r w:rsidRPr="00FC2D31">
        <w:rPr>
          <w:sz w:val="20"/>
          <w:szCs w:val="20"/>
        </w:rPr>
        <w:t xml:space="preserve"> for the corresponding reference medicinal product, and set </w:t>
      </w:r>
      <w:r w:rsidR="00373B33">
        <w:rPr>
          <w:sz w:val="20"/>
          <w:szCs w:val="20"/>
        </w:rPr>
        <w:t>out</w:t>
      </w:r>
      <w:r w:rsidRPr="00FC2D31">
        <w:rPr>
          <w:sz w:val="20"/>
          <w:szCs w:val="20"/>
        </w:rPr>
        <w:t xml:space="preserve"> the arrangements </w:t>
      </w:r>
      <w:r w:rsidR="00F708A2">
        <w:rPr>
          <w:sz w:val="20"/>
          <w:szCs w:val="20"/>
        </w:rPr>
        <w:t>for the ongoing</w:t>
      </w:r>
      <w:r w:rsidRPr="00FC2D31">
        <w:rPr>
          <w:sz w:val="20"/>
          <w:szCs w:val="20"/>
        </w:rPr>
        <w:t xml:space="preserve"> </w:t>
      </w:r>
      <w:r w:rsidR="00F708A2">
        <w:rPr>
          <w:sz w:val="20"/>
          <w:szCs w:val="20"/>
        </w:rPr>
        <w:t xml:space="preserve">monitoring of </w:t>
      </w:r>
      <w:r w:rsidR="007D515F" w:rsidRPr="00FC2D31">
        <w:rPr>
          <w:sz w:val="20"/>
          <w:szCs w:val="20"/>
        </w:rPr>
        <w:t xml:space="preserve">the medicinal </w:t>
      </w:r>
      <w:r w:rsidR="006F5D42" w:rsidRPr="00FC2D31">
        <w:rPr>
          <w:sz w:val="20"/>
          <w:szCs w:val="20"/>
        </w:rPr>
        <w:t>product</w:t>
      </w:r>
      <w:r w:rsidR="006F5D42">
        <w:rPr>
          <w:sz w:val="20"/>
          <w:szCs w:val="20"/>
        </w:rPr>
        <w:t>’s</w:t>
      </w:r>
      <w:r w:rsidR="007D515F" w:rsidRPr="00FC2D31">
        <w:rPr>
          <w:sz w:val="20"/>
          <w:szCs w:val="20"/>
        </w:rPr>
        <w:t xml:space="preserve"> </w:t>
      </w:r>
      <w:r w:rsidRPr="00FC2D31">
        <w:rPr>
          <w:sz w:val="20"/>
          <w:szCs w:val="20"/>
        </w:rPr>
        <w:t xml:space="preserve">safety and effectiveness </w:t>
      </w:r>
      <w:r w:rsidR="00F708A2">
        <w:rPr>
          <w:sz w:val="20"/>
          <w:szCs w:val="20"/>
        </w:rPr>
        <w:t>by the manufacturer and</w:t>
      </w:r>
      <w:r w:rsidRPr="00FC2D31">
        <w:rPr>
          <w:sz w:val="20"/>
          <w:szCs w:val="20"/>
        </w:rPr>
        <w:t xml:space="preserve"> the measures that the holders of the marketing </w:t>
      </w:r>
      <w:r w:rsidR="00504029" w:rsidRPr="00FC2D31">
        <w:rPr>
          <w:sz w:val="20"/>
          <w:szCs w:val="20"/>
        </w:rPr>
        <w:t>authorization</w:t>
      </w:r>
      <w:r w:rsidRPr="00FC2D31">
        <w:rPr>
          <w:sz w:val="20"/>
          <w:szCs w:val="20"/>
        </w:rPr>
        <w:t xml:space="preserve"> intent </w:t>
      </w:r>
      <w:r w:rsidR="00373B33">
        <w:rPr>
          <w:sz w:val="20"/>
          <w:szCs w:val="20"/>
        </w:rPr>
        <w:t>to introduce</w:t>
      </w:r>
      <w:r w:rsidRPr="00FC2D31">
        <w:rPr>
          <w:sz w:val="20"/>
          <w:szCs w:val="20"/>
        </w:rPr>
        <w:t xml:space="preserve"> in order to prevent or </w:t>
      </w:r>
      <w:r w:rsidR="00504029" w:rsidRPr="00FC2D31">
        <w:rPr>
          <w:sz w:val="20"/>
          <w:szCs w:val="20"/>
        </w:rPr>
        <w:t>minimize</w:t>
      </w:r>
      <w:r w:rsidRPr="00FC2D31">
        <w:rPr>
          <w:sz w:val="20"/>
          <w:szCs w:val="20"/>
        </w:rPr>
        <w:t xml:space="preserve"> any possible risks during the medicinal product's use, including the measurement of effectiveness in clinical practice. Th</w:t>
      </w:r>
      <w:r w:rsidR="00F708A2">
        <w:rPr>
          <w:sz w:val="20"/>
          <w:szCs w:val="20"/>
        </w:rPr>
        <w:t>us the</w:t>
      </w:r>
      <w:r w:rsidRPr="00FC2D31">
        <w:rPr>
          <w:sz w:val="20"/>
          <w:szCs w:val="20"/>
        </w:rPr>
        <w:t xml:space="preserve"> EU-RMP of a biosimilar medicinal product is a specific risk management program </w:t>
      </w:r>
      <w:r w:rsidR="00F708A2">
        <w:rPr>
          <w:sz w:val="20"/>
          <w:szCs w:val="20"/>
        </w:rPr>
        <w:t xml:space="preserve">that </w:t>
      </w:r>
      <w:r w:rsidRPr="00FC2D31">
        <w:rPr>
          <w:sz w:val="20"/>
          <w:szCs w:val="20"/>
        </w:rPr>
        <w:t xml:space="preserve">must be approved by the competent authorities prior to the marketing of the medicinal product. Every biosimilar product on the market has </w:t>
      </w:r>
      <w:r w:rsidR="00F708A2">
        <w:rPr>
          <w:sz w:val="20"/>
          <w:szCs w:val="20"/>
        </w:rPr>
        <w:t>implemented an</w:t>
      </w:r>
      <w:r w:rsidRPr="00FC2D31">
        <w:rPr>
          <w:sz w:val="20"/>
          <w:szCs w:val="20"/>
        </w:rPr>
        <w:t xml:space="preserve"> EU-RMP </w:t>
      </w:r>
      <w:r w:rsidR="00F708A2">
        <w:rPr>
          <w:sz w:val="20"/>
          <w:szCs w:val="20"/>
        </w:rPr>
        <w:t>of which</w:t>
      </w:r>
      <w:r w:rsidRPr="00FC2D31">
        <w:rPr>
          <w:sz w:val="20"/>
          <w:szCs w:val="20"/>
        </w:rPr>
        <w:t xml:space="preserve"> a summary </w:t>
      </w:r>
      <w:r w:rsidR="00F708A2">
        <w:rPr>
          <w:sz w:val="20"/>
          <w:szCs w:val="20"/>
        </w:rPr>
        <w:t xml:space="preserve">is </w:t>
      </w:r>
      <w:r w:rsidRPr="00FC2D31">
        <w:rPr>
          <w:sz w:val="20"/>
          <w:szCs w:val="20"/>
        </w:rPr>
        <w:t>published in the European Public Assessment Report (EPAR).</w:t>
      </w:r>
    </w:p>
    <w:p w:rsidR="007B4995" w:rsidRPr="00FC2D31" w:rsidRDefault="007B4995" w:rsidP="007763CF">
      <w:pPr>
        <w:spacing w:before="10" w:line="360" w:lineRule="auto"/>
        <w:rPr>
          <w:sz w:val="20"/>
          <w:szCs w:val="20"/>
        </w:rPr>
      </w:pPr>
    </w:p>
    <w:p w:rsidR="007B4995" w:rsidRPr="00FC2D31" w:rsidRDefault="007B4995" w:rsidP="007763CF">
      <w:pPr>
        <w:pStyle w:val="BodyText"/>
        <w:spacing w:line="360" w:lineRule="auto"/>
        <w:ind w:right="111"/>
        <w:jc w:val="both"/>
        <w:rPr>
          <w:sz w:val="20"/>
          <w:szCs w:val="20"/>
        </w:rPr>
      </w:pPr>
      <w:r w:rsidRPr="00FC2D31">
        <w:rPr>
          <w:sz w:val="20"/>
          <w:szCs w:val="20"/>
        </w:rPr>
        <w:t>The new law on pharmacovigilance (</w:t>
      </w:r>
      <w:r w:rsidR="00504029" w:rsidRPr="00FC2D31">
        <w:rPr>
          <w:i/>
          <w:sz w:val="20"/>
          <w:szCs w:val="20"/>
        </w:rPr>
        <w:t>Directive</w:t>
      </w:r>
      <w:r w:rsidRPr="00FC2D31">
        <w:rPr>
          <w:i/>
          <w:sz w:val="20"/>
          <w:szCs w:val="20"/>
        </w:rPr>
        <w:t xml:space="preserve"> 2010/84/EU</w:t>
      </w:r>
      <w:r w:rsidRPr="00FC2D31">
        <w:rPr>
          <w:sz w:val="20"/>
          <w:szCs w:val="20"/>
        </w:rPr>
        <w:t xml:space="preserve">) requires all medicinal products </w:t>
      </w:r>
      <w:r w:rsidR="00F708A2">
        <w:rPr>
          <w:sz w:val="20"/>
          <w:szCs w:val="20"/>
        </w:rPr>
        <w:t xml:space="preserve">to use </w:t>
      </w:r>
      <w:r w:rsidR="00504029" w:rsidRPr="00FC2D31">
        <w:rPr>
          <w:sz w:val="20"/>
          <w:szCs w:val="20"/>
        </w:rPr>
        <w:t>standardized</w:t>
      </w:r>
      <w:r w:rsidRPr="00FC2D31">
        <w:rPr>
          <w:sz w:val="20"/>
          <w:szCs w:val="20"/>
        </w:rPr>
        <w:t xml:space="preserve"> wording in </w:t>
      </w:r>
      <w:r w:rsidR="00F708A2">
        <w:rPr>
          <w:sz w:val="20"/>
          <w:szCs w:val="20"/>
        </w:rPr>
        <w:t>the product-</w:t>
      </w:r>
      <w:r w:rsidRPr="00FC2D31">
        <w:rPr>
          <w:sz w:val="20"/>
          <w:szCs w:val="20"/>
        </w:rPr>
        <w:t xml:space="preserve">characteristics </w:t>
      </w:r>
      <w:r w:rsidR="00F708A2" w:rsidRPr="00FC2D31">
        <w:rPr>
          <w:sz w:val="20"/>
          <w:szCs w:val="20"/>
        </w:rPr>
        <w:t xml:space="preserve">summary </w:t>
      </w:r>
      <w:r w:rsidRPr="00FC2D31">
        <w:rPr>
          <w:sz w:val="20"/>
          <w:szCs w:val="20"/>
        </w:rPr>
        <w:t xml:space="preserve">and the package leaflet </w:t>
      </w:r>
      <w:r w:rsidR="00373B33">
        <w:rPr>
          <w:sz w:val="20"/>
          <w:szCs w:val="20"/>
        </w:rPr>
        <w:t>with which</w:t>
      </w:r>
      <w:r w:rsidRPr="00FC2D31">
        <w:rPr>
          <w:sz w:val="20"/>
          <w:szCs w:val="20"/>
        </w:rPr>
        <w:t xml:space="preserve"> health operators and patients </w:t>
      </w:r>
      <w:r w:rsidR="00373B33">
        <w:rPr>
          <w:sz w:val="20"/>
          <w:szCs w:val="20"/>
        </w:rPr>
        <w:t>are urged</w:t>
      </w:r>
      <w:r w:rsidRPr="00FC2D31">
        <w:rPr>
          <w:sz w:val="20"/>
          <w:szCs w:val="20"/>
        </w:rPr>
        <w:t xml:space="preserve"> </w:t>
      </w:r>
      <w:r w:rsidR="007D515F">
        <w:rPr>
          <w:sz w:val="20"/>
          <w:szCs w:val="20"/>
        </w:rPr>
        <w:t xml:space="preserve">to </w:t>
      </w:r>
      <w:r w:rsidRPr="00FC2D31">
        <w:rPr>
          <w:sz w:val="20"/>
          <w:szCs w:val="20"/>
        </w:rPr>
        <w:t xml:space="preserve">report any suspected adverse reaction </w:t>
      </w:r>
      <w:r w:rsidRPr="00FC2D31">
        <w:rPr>
          <w:i/>
          <w:sz w:val="20"/>
          <w:szCs w:val="20"/>
        </w:rPr>
        <w:t>Adverse Drug Reaction</w:t>
      </w:r>
      <w:r w:rsidRPr="00FC2D31">
        <w:rPr>
          <w:sz w:val="20"/>
          <w:szCs w:val="20"/>
        </w:rPr>
        <w:t xml:space="preserve"> - ADR) in compliance with national systems for spontaneous reporting.  As </w:t>
      </w:r>
      <w:r w:rsidR="00F708A2" w:rsidRPr="00FC2D31">
        <w:rPr>
          <w:sz w:val="20"/>
          <w:szCs w:val="20"/>
        </w:rPr>
        <w:t xml:space="preserve">clear identification of the medicinal product is </w:t>
      </w:r>
      <w:r w:rsidR="006F5D42" w:rsidRPr="00FC2D31">
        <w:rPr>
          <w:sz w:val="20"/>
          <w:szCs w:val="20"/>
        </w:rPr>
        <w:t>especially</w:t>
      </w:r>
      <w:r w:rsidR="007D515F">
        <w:rPr>
          <w:sz w:val="20"/>
          <w:szCs w:val="20"/>
        </w:rPr>
        <w:t xml:space="preserve"> important</w:t>
      </w:r>
      <w:r w:rsidR="00F708A2" w:rsidRPr="00FC2D31">
        <w:rPr>
          <w:sz w:val="20"/>
          <w:szCs w:val="20"/>
        </w:rPr>
        <w:t xml:space="preserve"> </w:t>
      </w:r>
      <w:r w:rsidR="00F708A2">
        <w:rPr>
          <w:sz w:val="20"/>
          <w:szCs w:val="20"/>
        </w:rPr>
        <w:t xml:space="preserve">in communicating </w:t>
      </w:r>
      <w:r w:rsidRPr="00FC2D31">
        <w:rPr>
          <w:sz w:val="20"/>
          <w:szCs w:val="20"/>
        </w:rPr>
        <w:t>ADRs on biological products,</w:t>
      </w:r>
      <w:r w:rsidR="00861C5F" w:rsidRPr="00FC2D31">
        <w:rPr>
          <w:sz w:val="20"/>
          <w:szCs w:val="20"/>
        </w:rPr>
        <w:t xml:space="preserve"> </w:t>
      </w:r>
      <w:r w:rsidRPr="00FC2D31">
        <w:rPr>
          <w:sz w:val="20"/>
          <w:szCs w:val="20"/>
        </w:rPr>
        <w:t>including biosimilar</w:t>
      </w:r>
      <w:r w:rsidR="00933BCB">
        <w:rPr>
          <w:sz w:val="20"/>
          <w:szCs w:val="20"/>
        </w:rPr>
        <w:t>s</w:t>
      </w:r>
      <w:r w:rsidRPr="00FC2D31">
        <w:rPr>
          <w:sz w:val="20"/>
          <w:szCs w:val="20"/>
        </w:rPr>
        <w:t xml:space="preserve">, European legislation requires </w:t>
      </w:r>
      <w:r w:rsidR="00933BCB" w:rsidRPr="00FC2D31">
        <w:rPr>
          <w:sz w:val="20"/>
          <w:szCs w:val="20"/>
        </w:rPr>
        <w:t>the approved denomination of the product, and the batch number</w:t>
      </w:r>
      <w:r w:rsidR="00933BCB">
        <w:rPr>
          <w:sz w:val="20"/>
          <w:szCs w:val="20"/>
        </w:rPr>
        <w:t>,</w:t>
      </w:r>
      <w:r w:rsidR="00933BCB" w:rsidRPr="00FC2D31">
        <w:rPr>
          <w:sz w:val="20"/>
          <w:szCs w:val="20"/>
        </w:rPr>
        <w:t xml:space="preserve"> be included in </w:t>
      </w:r>
      <w:r w:rsidR="00933BCB">
        <w:rPr>
          <w:sz w:val="20"/>
          <w:szCs w:val="20"/>
        </w:rPr>
        <w:t>every</w:t>
      </w:r>
      <w:r w:rsidR="00933BCB" w:rsidRPr="00FC2D31">
        <w:rPr>
          <w:sz w:val="20"/>
          <w:szCs w:val="20"/>
        </w:rPr>
        <w:t xml:space="preserve"> ADR report</w:t>
      </w:r>
      <w:r w:rsidRPr="00FC2D31">
        <w:rPr>
          <w:sz w:val="20"/>
          <w:szCs w:val="20"/>
        </w:rPr>
        <w:t>.</w:t>
      </w:r>
    </w:p>
    <w:p w:rsidR="007B4995" w:rsidRPr="00FC2D31" w:rsidRDefault="007B4995" w:rsidP="007763CF">
      <w:pPr>
        <w:spacing w:before="9" w:line="360" w:lineRule="auto"/>
        <w:rPr>
          <w:sz w:val="20"/>
          <w:szCs w:val="20"/>
        </w:rPr>
      </w:pPr>
    </w:p>
    <w:p w:rsidR="007B4995" w:rsidRPr="00FC2D31" w:rsidRDefault="007B4995" w:rsidP="007763CF">
      <w:pPr>
        <w:pStyle w:val="BodyText"/>
        <w:spacing w:line="360" w:lineRule="auto"/>
        <w:ind w:right="152"/>
        <w:jc w:val="both"/>
        <w:rPr>
          <w:sz w:val="20"/>
          <w:szCs w:val="20"/>
        </w:rPr>
      </w:pPr>
      <w:r w:rsidRPr="00FC2D31">
        <w:rPr>
          <w:sz w:val="20"/>
          <w:szCs w:val="20"/>
        </w:rPr>
        <w:t xml:space="preserve">Furthermore, the foregoing directive 2010/84/EU classifies biological and biosimilar medicinal products as "priorities" </w:t>
      </w:r>
      <w:r w:rsidR="008F5756">
        <w:rPr>
          <w:sz w:val="20"/>
          <w:szCs w:val="20"/>
        </w:rPr>
        <w:t xml:space="preserve">of </w:t>
      </w:r>
      <w:r w:rsidR="008F5756" w:rsidRPr="00FC2D31">
        <w:rPr>
          <w:sz w:val="20"/>
          <w:szCs w:val="20"/>
        </w:rPr>
        <w:t xml:space="preserve">pharmacomvigilance </w:t>
      </w:r>
      <w:r w:rsidRPr="00FC2D31">
        <w:rPr>
          <w:sz w:val="20"/>
          <w:szCs w:val="20"/>
        </w:rPr>
        <w:t xml:space="preserve">and requires </w:t>
      </w:r>
      <w:r w:rsidR="000C30D3">
        <w:rPr>
          <w:sz w:val="20"/>
          <w:szCs w:val="20"/>
        </w:rPr>
        <w:t>them to</w:t>
      </w:r>
      <w:r w:rsidRPr="00FC2D31">
        <w:rPr>
          <w:sz w:val="20"/>
          <w:szCs w:val="20"/>
        </w:rPr>
        <w:t xml:space="preserve"> be included in a special list of products subject to supplementary monitoring. </w:t>
      </w:r>
      <w:r w:rsidR="00504029" w:rsidRPr="00FC2D31">
        <w:rPr>
          <w:sz w:val="20"/>
          <w:szCs w:val="20"/>
        </w:rPr>
        <w:t xml:space="preserve">In this sense, </w:t>
      </w:r>
      <w:r w:rsidR="008F5756">
        <w:rPr>
          <w:sz w:val="20"/>
          <w:szCs w:val="20"/>
        </w:rPr>
        <w:t xml:space="preserve">AIFA’s </w:t>
      </w:r>
      <w:r w:rsidR="00504029" w:rsidRPr="00FC2D31">
        <w:rPr>
          <w:sz w:val="20"/>
          <w:szCs w:val="20"/>
        </w:rPr>
        <w:t xml:space="preserve">National Pharmacovigilance Network represents an essential tool for implementing recent European legislation </w:t>
      </w:r>
      <w:r w:rsidR="000C30D3">
        <w:rPr>
          <w:sz w:val="20"/>
          <w:szCs w:val="20"/>
        </w:rPr>
        <w:t>as it</w:t>
      </w:r>
      <w:r w:rsidR="00504029" w:rsidRPr="00FC2D31">
        <w:rPr>
          <w:sz w:val="20"/>
          <w:szCs w:val="20"/>
        </w:rPr>
        <w:t xml:space="preserve"> increase</w:t>
      </w:r>
      <w:r w:rsidR="000C30D3">
        <w:rPr>
          <w:sz w:val="20"/>
          <w:szCs w:val="20"/>
        </w:rPr>
        <w:t>s</w:t>
      </w:r>
      <w:r w:rsidR="00504029" w:rsidRPr="00FC2D31">
        <w:rPr>
          <w:sz w:val="20"/>
          <w:szCs w:val="20"/>
        </w:rPr>
        <w:t xml:space="preserve"> transparency, </w:t>
      </w:r>
      <w:r w:rsidR="000C30D3">
        <w:rPr>
          <w:sz w:val="20"/>
          <w:szCs w:val="20"/>
        </w:rPr>
        <w:t xml:space="preserve">and </w:t>
      </w:r>
      <w:r w:rsidR="00504029" w:rsidRPr="00FC2D31">
        <w:rPr>
          <w:sz w:val="20"/>
          <w:szCs w:val="20"/>
        </w:rPr>
        <w:t xml:space="preserve">communication on the correct use of biological and biosimilar medicinal products </w:t>
      </w:r>
      <w:r w:rsidR="000C30D3" w:rsidRPr="00FC2D31">
        <w:rPr>
          <w:sz w:val="20"/>
          <w:szCs w:val="20"/>
        </w:rPr>
        <w:t xml:space="preserve">and </w:t>
      </w:r>
      <w:r w:rsidR="008F5756">
        <w:rPr>
          <w:sz w:val="20"/>
          <w:szCs w:val="20"/>
        </w:rPr>
        <w:t xml:space="preserve">enhances </w:t>
      </w:r>
      <w:r w:rsidR="000C30D3" w:rsidRPr="00FC2D31">
        <w:rPr>
          <w:sz w:val="20"/>
          <w:szCs w:val="20"/>
        </w:rPr>
        <w:t xml:space="preserve">trust </w:t>
      </w:r>
      <w:r w:rsidR="00504029" w:rsidRPr="00FC2D31">
        <w:rPr>
          <w:sz w:val="20"/>
          <w:szCs w:val="20"/>
        </w:rPr>
        <w:t>between the institutions and the citizens.</w:t>
      </w:r>
    </w:p>
    <w:p w:rsidR="007B4995" w:rsidRPr="00FC2D31" w:rsidRDefault="007B4995" w:rsidP="007763CF">
      <w:pPr>
        <w:spacing w:line="360" w:lineRule="auto"/>
        <w:rPr>
          <w:sz w:val="20"/>
          <w:szCs w:val="20"/>
        </w:rPr>
      </w:pPr>
    </w:p>
    <w:p w:rsidR="007B4995" w:rsidRPr="00FC2D31" w:rsidRDefault="007B4995" w:rsidP="007763CF">
      <w:pPr>
        <w:pStyle w:val="BodyText"/>
        <w:spacing w:line="360" w:lineRule="auto"/>
        <w:ind w:right="151"/>
        <w:jc w:val="both"/>
        <w:rPr>
          <w:sz w:val="20"/>
          <w:szCs w:val="20"/>
        </w:rPr>
      </w:pPr>
      <w:r w:rsidRPr="00FC2D31">
        <w:rPr>
          <w:sz w:val="20"/>
          <w:szCs w:val="20"/>
        </w:rPr>
        <w:t xml:space="preserve">In conclusion, Directive 2010/84/EU lays down </w:t>
      </w:r>
      <w:r w:rsidR="00FB7A5F">
        <w:rPr>
          <w:sz w:val="20"/>
          <w:szCs w:val="20"/>
        </w:rPr>
        <w:t>that the release of a</w:t>
      </w:r>
      <w:r w:rsidR="0071273E">
        <w:rPr>
          <w:sz w:val="20"/>
          <w:szCs w:val="20"/>
        </w:rPr>
        <w:t xml:space="preserve"> </w:t>
      </w:r>
      <w:r w:rsidRPr="00FC2D31">
        <w:rPr>
          <w:sz w:val="20"/>
          <w:szCs w:val="20"/>
        </w:rPr>
        <w:t xml:space="preserve">marketing </w:t>
      </w:r>
      <w:r w:rsidR="00504029" w:rsidRPr="00FC2D31">
        <w:rPr>
          <w:sz w:val="20"/>
          <w:szCs w:val="20"/>
        </w:rPr>
        <w:t>authorization</w:t>
      </w:r>
      <w:r w:rsidRPr="00FC2D31">
        <w:rPr>
          <w:sz w:val="20"/>
          <w:szCs w:val="20"/>
        </w:rPr>
        <w:t xml:space="preserve"> </w:t>
      </w:r>
      <w:r w:rsidR="0071273E">
        <w:rPr>
          <w:sz w:val="20"/>
          <w:szCs w:val="20"/>
        </w:rPr>
        <w:t xml:space="preserve">is conditional upon the </w:t>
      </w:r>
      <w:r w:rsidR="0071273E">
        <w:rPr>
          <w:sz w:val="20"/>
          <w:szCs w:val="20"/>
        </w:rPr>
        <w:lastRenderedPageBreak/>
        <w:t>performance of</w:t>
      </w:r>
      <w:r w:rsidRPr="00FC2D31">
        <w:rPr>
          <w:sz w:val="20"/>
          <w:szCs w:val="20"/>
        </w:rPr>
        <w:t xml:space="preserve"> post-</w:t>
      </w:r>
      <w:r w:rsidR="00504029" w:rsidRPr="00FC2D31">
        <w:rPr>
          <w:sz w:val="20"/>
          <w:szCs w:val="20"/>
        </w:rPr>
        <w:t>authorization</w:t>
      </w:r>
      <w:r w:rsidRPr="00FC2D31">
        <w:rPr>
          <w:sz w:val="20"/>
          <w:szCs w:val="20"/>
        </w:rPr>
        <w:t xml:space="preserve"> safety (PASS) and/or effectiveness (PAES) studies. PASS studies set out to identify, </w:t>
      </w:r>
      <w:r w:rsidR="00504029" w:rsidRPr="00FC2D31">
        <w:rPr>
          <w:sz w:val="20"/>
          <w:szCs w:val="20"/>
        </w:rPr>
        <w:t>characterize</w:t>
      </w:r>
      <w:r w:rsidRPr="00FC2D31">
        <w:rPr>
          <w:sz w:val="20"/>
          <w:szCs w:val="20"/>
        </w:rPr>
        <w:t xml:space="preserve"> and quantify a safety risk or confirm </w:t>
      </w:r>
      <w:r w:rsidR="00617EFD">
        <w:rPr>
          <w:sz w:val="20"/>
          <w:szCs w:val="20"/>
        </w:rPr>
        <w:t>a</w:t>
      </w:r>
      <w:r w:rsidRPr="00FC2D31">
        <w:rPr>
          <w:sz w:val="20"/>
          <w:szCs w:val="20"/>
        </w:rPr>
        <w:t xml:space="preserve"> medicin</w:t>
      </w:r>
      <w:r w:rsidR="0071273E">
        <w:rPr>
          <w:sz w:val="20"/>
          <w:szCs w:val="20"/>
        </w:rPr>
        <w:t>al product's safety profile, or, alternatively,</w:t>
      </w:r>
      <w:r w:rsidRPr="00FC2D31">
        <w:rPr>
          <w:sz w:val="20"/>
          <w:szCs w:val="20"/>
        </w:rPr>
        <w:t xml:space="preserve"> measure the effectiveness of risk management measures during the marketing of a medicinal product (</w:t>
      </w:r>
      <w:r w:rsidR="00504029" w:rsidRPr="00FC2D31">
        <w:rPr>
          <w:sz w:val="20"/>
          <w:szCs w:val="20"/>
        </w:rPr>
        <w:t>immunogenicity</w:t>
      </w:r>
      <w:r w:rsidRPr="00FC2D31">
        <w:rPr>
          <w:sz w:val="20"/>
          <w:szCs w:val="20"/>
        </w:rPr>
        <w:t xml:space="preserve"> phenomena are of special importance </w:t>
      </w:r>
      <w:r w:rsidR="0071273E" w:rsidRPr="00FC2D31">
        <w:rPr>
          <w:sz w:val="20"/>
          <w:szCs w:val="20"/>
        </w:rPr>
        <w:t xml:space="preserve">in this context </w:t>
      </w:r>
      <w:r w:rsidRPr="00FC2D31">
        <w:rPr>
          <w:sz w:val="20"/>
          <w:szCs w:val="20"/>
        </w:rPr>
        <w:t>as they represent an essential safety problem for any biological medicinal product and</w:t>
      </w:r>
      <w:r w:rsidR="00617EFD">
        <w:rPr>
          <w:sz w:val="20"/>
          <w:szCs w:val="20"/>
        </w:rPr>
        <w:t xml:space="preserve">, as such, </w:t>
      </w:r>
      <w:r w:rsidR="0071273E">
        <w:rPr>
          <w:sz w:val="20"/>
          <w:szCs w:val="20"/>
        </w:rPr>
        <w:t xml:space="preserve">they are </w:t>
      </w:r>
      <w:r w:rsidRPr="00FC2D31">
        <w:rPr>
          <w:sz w:val="20"/>
          <w:szCs w:val="20"/>
        </w:rPr>
        <w:t xml:space="preserve">mandatorily managed in the EU-RMP). PAES studies, instead, are concerned </w:t>
      </w:r>
      <w:r w:rsidR="00CC698A">
        <w:rPr>
          <w:sz w:val="20"/>
          <w:szCs w:val="20"/>
        </w:rPr>
        <w:t>with</w:t>
      </w:r>
      <w:r w:rsidRPr="00FC2D31">
        <w:rPr>
          <w:sz w:val="20"/>
          <w:szCs w:val="20"/>
        </w:rPr>
        <w:t xml:space="preserve"> effectiveness </w:t>
      </w:r>
      <w:r w:rsidR="00CC698A">
        <w:rPr>
          <w:sz w:val="20"/>
          <w:szCs w:val="20"/>
        </w:rPr>
        <w:t>evaluation whenever</w:t>
      </w:r>
      <w:r w:rsidRPr="00FC2D31">
        <w:rPr>
          <w:sz w:val="20"/>
          <w:szCs w:val="20"/>
        </w:rPr>
        <w:t xml:space="preserve"> uncertainties exist with respect to some aspects of the product's effectiveness and which only can be clarified after marketing.</w:t>
      </w:r>
    </w:p>
    <w:p w:rsidR="007B4995" w:rsidRPr="00FC2D31" w:rsidRDefault="007B4995" w:rsidP="007763CF">
      <w:pPr>
        <w:spacing w:before="2" w:line="360" w:lineRule="auto"/>
        <w:rPr>
          <w:sz w:val="20"/>
          <w:szCs w:val="20"/>
        </w:rPr>
      </w:pPr>
    </w:p>
    <w:p w:rsidR="007B4995" w:rsidRPr="00FC2D31" w:rsidRDefault="007B4995" w:rsidP="00FB7A5F">
      <w:pPr>
        <w:pStyle w:val="BodyText"/>
        <w:spacing w:line="360" w:lineRule="auto"/>
        <w:ind w:left="0"/>
        <w:rPr>
          <w:color w:val="0000FF"/>
          <w:sz w:val="20"/>
          <w:szCs w:val="20"/>
        </w:rPr>
      </w:pPr>
      <w:r w:rsidRPr="00FC2D31">
        <w:rPr>
          <w:sz w:val="20"/>
          <w:szCs w:val="20"/>
        </w:rPr>
        <w:t xml:space="preserve">Directive 2010/84/EU can be consulted on the EMA's site at the following link: </w:t>
      </w:r>
      <w:r w:rsidRPr="00FC2D31">
        <w:rPr>
          <w:color w:val="0000FF"/>
          <w:sz w:val="20"/>
          <w:szCs w:val="20"/>
          <w:u w:val="single" w:color="0000FF"/>
        </w:rPr>
        <w:t>http://www.ema.europa.eu/ema/index.jsp?</w:t>
      </w:r>
      <w:r w:rsidRPr="00FC2D31">
        <w:rPr>
          <w:color w:val="0000FF"/>
          <w:sz w:val="20"/>
          <w:szCs w:val="20"/>
          <w:u w:val="single"/>
        </w:rPr>
        <w:t>curl=pages/regulation/document_listing/document_li</w:t>
      </w:r>
      <w:r w:rsidRPr="00FC2D31">
        <w:rPr>
          <w:color w:val="0000FF"/>
          <w:sz w:val="20"/>
          <w:szCs w:val="20"/>
        </w:rPr>
        <w:t xml:space="preserve"> </w:t>
      </w:r>
      <w:r w:rsidRPr="00FC2D31">
        <w:rPr>
          <w:color w:val="0000FF"/>
          <w:sz w:val="20"/>
          <w:szCs w:val="20"/>
          <w:u w:val="single"/>
        </w:rPr>
        <w:t>sting_000199.jsp&amp;mid=WC0b01ac05800250b3</w:t>
      </w:r>
    </w:p>
    <w:p w:rsidR="007B4995" w:rsidRPr="00FC2D31" w:rsidRDefault="007B4995" w:rsidP="007763CF">
      <w:pPr>
        <w:spacing w:line="360" w:lineRule="auto"/>
        <w:rPr>
          <w:color w:val="0000FF"/>
          <w:sz w:val="20"/>
          <w:szCs w:val="20"/>
        </w:rPr>
      </w:pPr>
    </w:p>
    <w:p w:rsidR="007B4995" w:rsidRPr="00FC2D31" w:rsidRDefault="007B4995" w:rsidP="007763CF">
      <w:pPr>
        <w:spacing w:before="9" w:line="360" w:lineRule="auto"/>
        <w:rPr>
          <w:color w:val="0000FF"/>
          <w:sz w:val="20"/>
          <w:szCs w:val="20"/>
        </w:rPr>
      </w:pPr>
    </w:p>
    <w:p w:rsidR="007B4995" w:rsidRPr="00FC2D31" w:rsidRDefault="007B4995" w:rsidP="007763CF">
      <w:pPr>
        <w:pStyle w:val="Heading1"/>
        <w:spacing w:before="51" w:line="360" w:lineRule="auto"/>
        <w:ind w:right="5165"/>
        <w:jc w:val="both"/>
        <w:rPr>
          <w:b w:val="0"/>
          <w:sz w:val="20"/>
          <w:szCs w:val="20"/>
        </w:rPr>
      </w:pPr>
      <w:r w:rsidRPr="00FC2D31">
        <w:rPr>
          <w:sz w:val="20"/>
          <w:szCs w:val="20"/>
        </w:rPr>
        <w:t>The extrapolation of therapeutic indications</w:t>
      </w:r>
    </w:p>
    <w:p w:rsidR="007B4995" w:rsidRPr="00FC2D31" w:rsidRDefault="007B4995" w:rsidP="007763CF">
      <w:pPr>
        <w:spacing w:before="19" w:line="360" w:lineRule="auto"/>
        <w:rPr>
          <w:sz w:val="20"/>
          <w:szCs w:val="20"/>
        </w:rPr>
      </w:pPr>
    </w:p>
    <w:p w:rsidR="007B4995" w:rsidRPr="00FC2D31" w:rsidRDefault="007B4995" w:rsidP="007763CF">
      <w:pPr>
        <w:spacing w:line="360" w:lineRule="auto"/>
        <w:ind w:left="112" w:right="153"/>
        <w:jc w:val="both"/>
        <w:rPr>
          <w:rFonts w:ascii="Calibri" w:eastAsia="Calibri" w:hAnsi="Calibri" w:cs="Calibri"/>
          <w:sz w:val="20"/>
          <w:szCs w:val="20"/>
        </w:rPr>
      </w:pPr>
      <w:r w:rsidRPr="00FC2D31">
        <w:rPr>
          <w:rFonts w:ascii="Calibri" w:eastAsia="Calibri" w:hAnsi="Calibri" w:cs="Calibri"/>
          <w:sz w:val="20"/>
          <w:szCs w:val="20"/>
        </w:rPr>
        <w:t xml:space="preserve">Biological medicinal products are often </w:t>
      </w:r>
      <w:r w:rsidR="00504029" w:rsidRPr="00FC2D31">
        <w:rPr>
          <w:rFonts w:ascii="Calibri" w:eastAsia="Calibri" w:hAnsi="Calibri" w:cs="Calibri"/>
          <w:sz w:val="20"/>
          <w:szCs w:val="20"/>
        </w:rPr>
        <w:t>authorized</w:t>
      </w:r>
      <w:r w:rsidRPr="00FC2D31">
        <w:rPr>
          <w:rFonts w:ascii="Calibri" w:eastAsia="Calibri" w:hAnsi="Calibri" w:cs="Calibri"/>
          <w:sz w:val="20"/>
          <w:szCs w:val="20"/>
        </w:rPr>
        <w:t xml:space="preserve"> </w:t>
      </w:r>
      <w:r w:rsidR="003747BD">
        <w:rPr>
          <w:rFonts w:ascii="Calibri" w:eastAsia="Calibri" w:hAnsi="Calibri" w:cs="Calibri"/>
          <w:sz w:val="20"/>
          <w:szCs w:val="20"/>
        </w:rPr>
        <w:t xml:space="preserve">to be used </w:t>
      </w:r>
      <w:r w:rsidRPr="00FC2D31">
        <w:rPr>
          <w:rFonts w:ascii="Calibri" w:eastAsia="Calibri" w:hAnsi="Calibri" w:cs="Calibri"/>
          <w:sz w:val="20"/>
          <w:szCs w:val="20"/>
        </w:rPr>
        <w:t>for a nu</w:t>
      </w:r>
      <w:r w:rsidR="00AB2D0B">
        <w:rPr>
          <w:rFonts w:ascii="Calibri" w:eastAsia="Calibri" w:hAnsi="Calibri" w:cs="Calibri"/>
          <w:sz w:val="20"/>
          <w:szCs w:val="20"/>
        </w:rPr>
        <w:t>mber of therapeutic indications and the practice of</w:t>
      </w:r>
      <w:r w:rsidRPr="00FC2D31">
        <w:rPr>
          <w:rFonts w:ascii="Calibri" w:eastAsia="Calibri" w:hAnsi="Calibri" w:cs="Calibri"/>
          <w:sz w:val="20"/>
          <w:szCs w:val="20"/>
        </w:rPr>
        <w:t xml:space="preserve"> extra</w:t>
      </w:r>
      <w:r w:rsidR="00AB2D0B">
        <w:rPr>
          <w:rFonts w:ascii="Calibri" w:eastAsia="Calibri" w:hAnsi="Calibri" w:cs="Calibri"/>
          <w:sz w:val="20"/>
          <w:szCs w:val="20"/>
        </w:rPr>
        <w:t xml:space="preserve">polating </w:t>
      </w:r>
      <w:r w:rsidR="003747BD">
        <w:rPr>
          <w:rFonts w:ascii="Calibri" w:eastAsia="Calibri" w:hAnsi="Calibri" w:cs="Calibri"/>
          <w:sz w:val="20"/>
          <w:szCs w:val="20"/>
        </w:rPr>
        <w:t>such</w:t>
      </w:r>
      <w:r w:rsidRPr="00FC2D31">
        <w:rPr>
          <w:rFonts w:ascii="Calibri" w:eastAsia="Calibri" w:hAnsi="Calibri" w:cs="Calibri"/>
          <w:sz w:val="20"/>
          <w:szCs w:val="20"/>
        </w:rPr>
        <w:t xml:space="preserve"> indications has been </w:t>
      </w:r>
      <w:r w:rsidR="00AB2D0B">
        <w:rPr>
          <w:rFonts w:ascii="Calibri" w:eastAsia="Calibri" w:hAnsi="Calibri" w:cs="Calibri"/>
          <w:sz w:val="20"/>
          <w:szCs w:val="20"/>
        </w:rPr>
        <w:t>accepted</w:t>
      </w:r>
      <w:r w:rsidRPr="00FC2D31">
        <w:rPr>
          <w:rFonts w:ascii="Calibri" w:eastAsia="Calibri" w:hAnsi="Calibri" w:cs="Calibri"/>
          <w:sz w:val="20"/>
          <w:szCs w:val="20"/>
        </w:rPr>
        <w:t xml:space="preserve"> by EMA, which states that: "</w:t>
      </w:r>
      <w:r w:rsidRPr="00FC2D31">
        <w:rPr>
          <w:rFonts w:ascii="Calibri" w:eastAsia="Calibri" w:hAnsi="Calibri" w:cs="Calibri"/>
          <w:i/>
          <w:sz w:val="20"/>
          <w:szCs w:val="20"/>
        </w:rPr>
        <w:t xml:space="preserve">In the event that </w:t>
      </w:r>
      <w:r w:rsidR="003747BD">
        <w:rPr>
          <w:rFonts w:ascii="Calibri" w:eastAsia="Calibri" w:hAnsi="Calibri" w:cs="Calibri"/>
          <w:i/>
          <w:sz w:val="20"/>
          <w:szCs w:val="20"/>
        </w:rPr>
        <w:t>a</w:t>
      </w:r>
      <w:r w:rsidRPr="00FC2D31">
        <w:rPr>
          <w:rFonts w:ascii="Calibri" w:eastAsia="Calibri" w:hAnsi="Calibri" w:cs="Calibri"/>
          <w:i/>
          <w:sz w:val="20"/>
          <w:szCs w:val="20"/>
        </w:rPr>
        <w:t xml:space="preserve"> reference biological medicinal product is </w:t>
      </w:r>
      <w:r w:rsidR="00504029" w:rsidRPr="00FC2D31">
        <w:rPr>
          <w:rFonts w:ascii="Calibri" w:eastAsia="Calibri" w:hAnsi="Calibri" w:cs="Calibri"/>
          <w:i/>
          <w:sz w:val="20"/>
          <w:szCs w:val="20"/>
        </w:rPr>
        <w:t>authorized</w:t>
      </w:r>
      <w:r w:rsidRPr="00FC2D31">
        <w:rPr>
          <w:rFonts w:ascii="Calibri" w:eastAsia="Calibri" w:hAnsi="Calibri" w:cs="Calibri"/>
          <w:i/>
          <w:sz w:val="20"/>
          <w:szCs w:val="20"/>
        </w:rPr>
        <w:t xml:space="preserve"> for more than one indication, the effectiveness and safety of the biosimilar product must be confirmed or, if necessary, demonstrated separately for each single indication</w:t>
      </w:r>
      <w:r w:rsidR="00AB2D0B">
        <w:rPr>
          <w:rFonts w:ascii="Calibri" w:eastAsia="Calibri" w:hAnsi="Calibri" w:cs="Calibri"/>
          <w:i/>
          <w:sz w:val="20"/>
          <w:szCs w:val="20"/>
        </w:rPr>
        <w:t>.</w:t>
      </w:r>
      <w:r w:rsidRPr="00FC2D31">
        <w:rPr>
          <w:rFonts w:ascii="Calibri" w:eastAsia="Calibri" w:hAnsi="Calibri" w:cs="Calibri"/>
          <w:i/>
          <w:sz w:val="20"/>
          <w:szCs w:val="20"/>
        </w:rPr>
        <w:t xml:space="preserve"> In these cases it may be possible to extrapolate the therapeutic similarity demonstrated in an indication to other indications </w:t>
      </w:r>
      <w:r w:rsidR="00504029" w:rsidRPr="00FC2D31">
        <w:rPr>
          <w:rFonts w:ascii="Calibri" w:eastAsia="Calibri" w:hAnsi="Calibri" w:cs="Calibri"/>
          <w:i/>
          <w:sz w:val="20"/>
          <w:szCs w:val="20"/>
        </w:rPr>
        <w:t>authorized</w:t>
      </w:r>
      <w:r w:rsidRPr="00FC2D31">
        <w:rPr>
          <w:rFonts w:ascii="Calibri" w:eastAsia="Calibri" w:hAnsi="Calibri" w:cs="Calibri"/>
          <w:i/>
          <w:sz w:val="20"/>
          <w:szCs w:val="20"/>
        </w:rPr>
        <w:t xml:space="preserve"> for the reference medicinal product</w:t>
      </w:r>
      <w:r w:rsidR="00AB2D0B">
        <w:rPr>
          <w:rFonts w:ascii="Calibri" w:eastAsia="Calibri" w:hAnsi="Calibri" w:cs="Calibri"/>
          <w:i/>
          <w:sz w:val="20"/>
          <w:szCs w:val="20"/>
        </w:rPr>
        <w:t>.</w:t>
      </w:r>
      <w:r w:rsidRPr="00FC2D31">
        <w:rPr>
          <w:rFonts w:ascii="Calibri" w:eastAsia="Calibri" w:hAnsi="Calibri" w:cs="Calibri"/>
          <w:i/>
          <w:sz w:val="20"/>
          <w:szCs w:val="20"/>
        </w:rPr>
        <w:t xml:space="preserve"> The justification </w:t>
      </w:r>
      <w:r w:rsidR="003747BD">
        <w:rPr>
          <w:rFonts w:ascii="Calibri" w:eastAsia="Calibri" w:hAnsi="Calibri" w:cs="Calibri"/>
          <w:i/>
          <w:sz w:val="20"/>
          <w:szCs w:val="20"/>
        </w:rPr>
        <w:t>for</w:t>
      </w:r>
      <w:r w:rsidR="00861C5F" w:rsidRPr="00FC2D31">
        <w:rPr>
          <w:rFonts w:ascii="Calibri" w:eastAsia="Calibri" w:hAnsi="Calibri" w:cs="Calibri"/>
          <w:i/>
          <w:sz w:val="20"/>
          <w:szCs w:val="20"/>
        </w:rPr>
        <w:t xml:space="preserve"> </w:t>
      </w:r>
      <w:r w:rsidRPr="00FC2D31">
        <w:rPr>
          <w:rFonts w:ascii="Calibri" w:eastAsia="Calibri" w:hAnsi="Calibri" w:cs="Calibri"/>
          <w:i/>
          <w:sz w:val="20"/>
          <w:szCs w:val="20"/>
        </w:rPr>
        <w:t xml:space="preserve">extrapolation should take due account, for example, of clinical experience, data available in the literature, </w:t>
      </w:r>
      <w:r w:rsidR="00AB2D0B" w:rsidRPr="00FC2D31">
        <w:rPr>
          <w:rFonts w:ascii="Calibri" w:eastAsia="Calibri" w:hAnsi="Calibri" w:cs="Calibri"/>
          <w:i/>
          <w:sz w:val="20"/>
          <w:szCs w:val="20"/>
        </w:rPr>
        <w:t>mechanisms</w:t>
      </w:r>
      <w:r w:rsidR="00AB2D0B">
        <w:rPr>
          <w:rFonts w:ascii="Calibri" w:eastAsia="Calibri" w:hAnsi="Calibri" w:cs="Calibri"/>
          <w:i/>
          <w:sz w:val="20"/>
          <w:szCs w:val="20"/>
        </w:rPr>
        <w:t xml:space="preserve"> of</w:t>
      </w:r>
      <w:r w:rsidR="00AB2D0B" w:rsidRPr="00FC2D31">
        <w:rPr>
          <w:rFonts w:ascii="Calibri" w:eastAsia="Calibri" w:hAnsi="Calibri" w:cs="Calibri"/>
          <w:i/>
          <w:sz w:val="20"/>
          <w:szCs w:val="20"/>
        </w:rPr>
        <w:t xml:space="preserve"> </w:t>
      </w:r>
      <w:r w:rsidRPr="00FC2D31">
        <w:rPr>
          <w:rFonts w:ascii="Calibri" w:eastAsia="Calibri" w:hAnsi="Calibri" w:cs="Calibri"/>
          <w:i/>
          <w:sz w:val="20"/>
          <w:szCs w:val="20"/>
        </w:rPr>
        <w:t xml:space="preserve">action and the receptors involved in the various indications. Any problems that emerge in different sub populations must </w:t>
      </w:r>
      <w:r w:rsidR="003747BD">
        <w:rPr>
          <w:rFonts w:ascii="Calibri" w:eastAsia="Calibri" w:hAnsi="Calibri" w:cs="Calibri"/>
          <w:i/>
          <w:sz w:val="20"/>
          <w:szCs w:val="20"/>
        </w:rPr>
        <w:t xml:space="preserve">also </w:t>
      </w:r>
      <w:r w:rsidRPr="00FC2D31">
        <w:rPr>
          <w:rFonts w:ascii="Calibri" w:eastAsia="Calibri" w:hAnsi="Calibri" w:cs="Calibri"/>
          <w:i/>
          <w:sz w:val="20"/>
          <w:szCs w:val="20"/>
        </w:rPr>
        <w:t>be investigated. In any case, the manufacturing company must justify the approach used during the development of the product by consulting EMA for any scientific and regulatory clarifications prior to the commencement of the development programme"</w:t>
      </w:r>
      <w:r w:rsidRPr="00FC2D31">
        <w:rPr>
          <w:rFonts w:ascii="Calibri" w:eastAsia="Calibri" w:hAnsi="Calibri" w:cs="Calibri"/>
          <w:sz w:val="20"/>
          <w:szCs w:val="20"/>
        </w:rPr>
        <w:t>(EMEA/CHMP/BMWP/42832/2005).</w:t>
      </w:r>
    </w:p>
    <w:p w:rsidR="007B4995" w:rsidRPr="00FC2D31" w:rsidRDefault="007B4995" w:rsidP="007763CF">
      <w:pPr>
        <w:spacing w:before="9" w:line="360" w:lineRule="auto"/>
        <w:rPr>
          <w:sz w:val="20"/>
          <w:szCs w:val="20"/>
        </w:rPr>
      </w:pPr>
    </w:p>
    <w:p w:rsidR="007B4995" w:rsidRPr="00FC2D31" w:rsidRDefault="007B4995" w:rsidP="007763CF">
      <w:pPr>
        <w:pStyle w:val="BodyText"/>
        <w:spacing w:line="360" w:lineRule="auto"/>
        <w:ind w:right="152"/>
        <w:jc w:val="both"/>
        <w:rPr>
          <w:sz w:val="20"/>
          <w:szCs w:val="20"/>
        </w:rPr>
      </w:pPr>
      <w:r w:rsidRPr="00FC2D31">
        <w:rPr>
          <w:sz w:val="20"/>
          <w:szCs w:val="20"/>
        </w:rPr>
        <w:t xml:space="preserve">The possibility of extrapolating </w:t>
      </w:r>
      <w:r w:rsidR="00AB2D0B">
        <w:rPr>
          <w:sz w:val="20"/>
          <w:szCs w:val="20"/>
        </w:rPr>
        <w:t>a number of</w:t>
      </w:r>
      <w:r w:rsidRPr="00FC2D31">
        <w:rPr>
          <w:sz w:val="20"/>
          <w:szCs w:val="20"/>
        </w:rPr>
        <w:t xml:space="preserve"> indications is always based upon the compatibility demonstrated between the </w:t>
      </w:r>
      <w:r w:rsidR="00AB2D0B">
        <w:rPr>
          <w:sz w:val="20"/>
          <w:szCs w:val="20"/>
        </w:rPr>
        <w:t>bio</w:t>
      </w:r>
      <w:r w:rsidRPr="00FC2D31">
        <w:rPr>
          <w:sz w:val="20"/>
          <w:szCs w:val="20"/>
        </w:rPr>
        <w:t xml:space="preserve">similar and the reference product with respect to standards of quality, safety and effectiveness in the specific indication as recorded for the approved reference product. Only after having demonstrated comparability in terms of quality and pre-clinical and clinical comparability, can </w:t>
      </w:r>
      <w:r w:rsidR="00E52149" w:rsidRPr="00FC2D31">
        <w:rPr>
          <w:sz w:val="20"/>
          <w:szCs w:val="20"/>
        </w:rPr>
        <w:t xml:space="preserve">a biosimilar product </w:t>
      </w:r>
      <w:r w:rsidRPr="00FC2D31">
        <w:rPr>
          <w:sz w:val="20"/>
          <w:szCs w:val="20"/>
        </w:rPr>
        <w:t xml:space="preserve">dossier be allowed to </w:t>
      </w:r>
      <w:r w:rsidR="00E52149">
        <w:rPr>
          <w:sz w:val="20"/>
          <w:szCs w:val="20"/>
        </w:rPr>
        <w:t>refer</w:t>
      </w:r>
      <w:r w:rsidRPr="00FC2D31">
        <w:rPr>
          <w:sz w:val="20"/>
          <w:szCs w:val="20"/>
        </w:rPr>
        <w:t xml:space="preserve"> to clinical data obtained by the reference product and described in the literature and in the related dossiers.</w:t>
      </w:r>
    </w:p>
    <w:p w:rsidR="007B4995" w:rsidRPr="00FC2D31" w:rsidRDefault="007B4995" w:rsidP="007763CF">
      <w:pPr>
        <w:spacing w:before="9" w:line="360" w:lineRule="auto"/>
        <w:rPr>
          <w:sz w:val="20"/>
          <w:szCs w:val="20"/>
        </w:rPr>
      </w:pPr>
    </w:p>
    <w:p w:rsidR="007B4995" w:rsidRPr="00FC2D31" w:rsidRDefault="00E52149" w:rsidP="007763CF">
      <w:pPr>
        <w:pStyle w:val="BodyText"/>
        <w:spacing w:line="360" w:lineRule="auto"/>
        <w:ind w:right="152"/>
        <w:jc w:val="both"/>
        <w:rPr>
          <w:sz w:val="20"/>
          <w:szCs w:val="20"/>
        </w:rPr>
      </w:pPr>
      <w:r>
        <w:rPr>
          <w:sz w:val="20"/>
          <w:szCs w:val="20"/>
        </w:rPr>
        <w:t>It should</w:t>
      </w:r>
      <w:r w:rsidR="007B4995" w:rsidRPr="00FC2D31">
        <w:rPr>
          <w:sz w:val="20"/>
          <w:szCs w:val="20"/>
        </w:rPr>
        <w:t xml:space="preserve"> also be </w:t>
      </w:r>
      <w:r w:rsidR="00504029" w:rsidRPr="00FC2D31">
        <w:rPr>
          <w:sz w:val="20"/>
          <w:szCs w:val="20"/>
        </w:rPr>
        <w:t>emphasized</w:t>
      </w:r>
      <w:r w:rsidR="007B4995" w:rsidRPr="00FC2D31">
        <w:rPr>
          <w:sz w:val="20"/>
          <w:szCs w:val="20"/>
        </w:rPr>
        <w:t xml:space="preserve"> that the Committee for Medicinal Products for Human Use (CHMP) of EMA lays down, </w:t>
      </w:r>
      <w:r>
        <w:rPr>
          <w:sz w:val="20"/>
          <w:szCs w:val="20"/>
        </w:rPr>
        <w:t xml:space="preserve">on a </w:t>
      </w:r>
      <w:r w:rsidR="007B4995" w:rsidRPr="00FC2D31">
        <w:rPr>
          <w:sz w:val="20"/>
          <w:szCs w:val="20"/>
        </w:rPr>
        <w:t>case-by-case</w:t>
      </w:r>
      <w:r>
        <w:rPr>
          <w:sz w:val="20"/>
          <w:szCs w:val="20"/>
        </w:rPr>
        <w:t xml:space="preserve"> basis</w:t>
      </w:r>
      <w:r w:rsidR="007B4995" w:rsidRPr="00FC2D31">
        <w:rPr>
          <w:sz w:val="20"/>
          <w:szCs w:val="20"/>
        </w:rPr>
        <w:t xml:space="preserve">, if and when multiple indications can be extrapolated on the basis of scientific evidence </w:t>
      </w:r>
      <w:r>
        <w:rPr>
          <w:sz w:val="20"/>
          <w:szCs w:val="20"/>
        </w:rPr>
        <w:t>obtained</w:t>
      </w:r>
      <w:r w:rsidR="007B4995" w:rsidRPr="00FC2D31">
        <w:rPr>
          <w:sz w:val="20"/>
          <w:szCs w:val="20"/>
        </w:rPr>
        <w:t xml:space="preserve"> from a thorough comparability </w:t>
      </w:r>
      <w:r>
        <w:rPr>
          <w:sz w:val="20"/>
          <w:szCs w:val="20"/>
        </w:rPr>
        <w:t>investigations,</w:t>
      </w:r>
      <w:r w:rsidR="007B4995" w:rsidRPr="00FC2D31">
        <w:rPr>
          <w:sz w:val="20"/>
          <w:szCs w:val="20"/>
        </w:rPr>
        <w:t xml:space="preserve"> in conformity to appropriate scientific justifications.</w:t>
      </w:r>
    </w:p>
    <w:p w:rsidR="007B4995" w:rsidRPr="00FC2D31" w:rsidRDefault="007B4995" w:rsidP="007763CF">
      <w:pPr>
        <w:spacing w:line="360" w:lineRule="auto"/>
        <w:rPr>
          <w:sz w:val="20"/>
          <w:szCs w:val="20"/>
        </w:rPr>
      </w:pPr>
    </w:p>
    <w:p w:rsidR="007B4995" w:rsidRPr="00FC2D31" w:rsidRDefault="007B4995" w:rsidP="007763CF">
      <w:pPr>
        <w:spacing w:line="360" w:lineRule="auto"/>
        <w:rPr>
          <w:sz w:val="20"/>
          <w:szCs w:val="20"/>
        </w:rPr>
      </w:pPr>
    </w:p>
    <w:p w:rsidR="007B4995" w:rsidRPr="00FC2D31" w:rsidRDefault="00504029" w:rsidP="007763CF">
      <w:pPr>
        <w:pStyle w:val="Heading1"/>
        <w:spacing w:line="360" w:lineRule="auto"/>
        <w:ind w:left="113" w:right="3402"/>
        <w:jc w:val="both"/>
        <w:rPr>
          <w:b w:val="0"/>
          <w:sz w:val="20"/>
          <w:szCs w:val="20"/>
        </w:rPr>
      </w:pPr>
      <w:r w:rsidRPr="00FC2D31">
        <w:rPr>
          <w:sz w:val="20"/>
          <w:szCs w:val="20"/>
        </w:rPr>
        <w:t>Utilization</w:t>
      </w:r>
      <w:r w:rsidR="007B4995" w:rsidRPr="00FC2D31">
        <w:rPr>
          <w:sz w:val="20"/>
          <w:szCs w:val="20"/>
        </w:rPr>
        <w:t xml:space="preserve"> of biosimilars in the framework of law no 648/1996</w:t>
      </w:r>
    </w:p>
    <w:p w:rsidR="007B4995" w:rsidRPr="00FC2D31" w:rsidRDefault="007B4995" w:rsidP="007763CF">
      <w:pPr>
        <w:spacing w:before="6" w:line="360" w:lineRule="auto"/>
        <w:rPr>
          <w:sz w:val="20"/>
          <w:szCs w:val="20"/>
        </w:rPr>
      </w:pPr>
    </w:p>
    <w:p w:rsidR="007B4995" w:rsidRPr="00FC2D31" w:rsidRDefault="007B4995" w:rsidP="007763CF">
      <w:pPr>
        <w:spacing w:line="360" w:lineRule="auto"/>
        <w:rPr>
          <w:sz w:val="20"/>
          <w:szCs w:val="20"/>
        </w:rPr>
      </w:pPr>
    </w:p>
    <w:p w:rsidR="007B4995" w:rsidRPr="00FC2D31" w:rsidRDefault="007B4995" w:rsidP="007763CF">
      <w:pPr>
        <w:pStyle w:val="BodyText"/>
        <w:spacing w:line="360" w:lineRule="auto"/>
        <w:ind w:right="152"/>
        <w:jc w:val="both"/>
        <w:rPr>
          <w:sz w:val="20"/>
          <w:szCs w:val="20"/>
        </w:rPr>
      </w:pPr>
      <w:r w:rsidRPr="00FC2D31">
        <w:rPr>
          <w:sz w:val="20"/>
          <w:szCs w:val="20"/>
        </w:rPr>
        <w:t xml:space="preserve">In Italy law no 648/96 requires, inter-alia, that in the case of a pathology for which no valid alternative therapy is available, medicinal products </w:t>
      </w:r>
      <w:r w:rsidR="00504029" w:rsidRPr="00FC2D31">
        <w:rPr>
          <w:sz w:val="20"/>
          <w:szCs w:val="20"/>
        </w:rPr>
        <w:t>authorized</w:t>
      </w:r>
      <w:r w:rsidRPr="00FC2D31">
        <w:rPr>
          <w:sz w:val="20"/>
          <w:szCs w:val="20"/>
        </w:rPr>
        <w:t xml:space="preserve"> for another therapeutic indication may be </w:t>
      </w:r>
      <w:r w:rsidR="00E52149">
        <w:rPr>
          <w:sz w:val="20"/>
          <w:szCs w:val="20"/>
        </w:rPr>
        <w:t>supplied through the</w:t>
      </w:r>
      <w:r w:rsidRPr="00FC2D31">
        <w:rPr>
          <w:sz w:val="20"/>
          <w:szCs w:val="20"/>
        </w:rPr>
        <w:t xml:space="preserve"> NHS (off-label use) </w:t>
      </w:r>
      <w:r w:rsidR="00D148C8">
        <w:rPr>
          <w:sz w:val="20"/>
          <w:szCs w:val="20"/>
        </w:rPr>
        <w:t xml:space="preserve">for its treatment </w:t>
      </w:r>
      <w:r w:rsidR="00E52149">
        <w:rPr>
          <w:sz w:val="20"/>
          <w:szCs w:val="20"/>
        </w:rPr>
        <w:t>on condition that appropriate</w:t>
      </w:r>
      <w:r w:rsidRPr="00FC2D31">
        <w:rPr>
          <w:sz w:val="20"/>
          <w:szCs w:val="20"/>
        </w:rPr>
        <w:t xml:space="preserve"> safety and effectiveness data are available </w:t>
      </w:r>
      <w:r w:rsidR="00E52149">
        <w:rPr>
          <w:sz w:val="20"/>
          <w:szCs w:val="20"/>
        </w:rPr>
        <w:t>from</w:t>
      </w:r>
      <w:r w:rsidRPr="00FC2D31">
        <w:rPr>
          <w:sz w:val="20"/>
          <w:szCs w:val="20"/>
        </w:rPr>
        <w:t xml:space="preserve"> </w:t>
      </w:r>
      <w:r w:rsidR="00E52149">
        <w:rPr>
          <w:sz w:val="20"/>
          <w:szCs w:val="20"/>
        </w:rPr>
        <w:t>(</w:t>
      </w:r>
      <w:r w:rsidRPr="00FC2D31">
        <w:rPr>
          <w:sz w:val="20"/>
          <w:szCs w:val="20"/>
        </w:rPr>
        <w:t>at least</w:t>
      </w:r>
      <w:r w:rsidR="00E52149">
        <w:rPr>
          <w:sz w:val="20"/>
          <w:szCs w:val="20"/>
        </w:rPr>
        <w:t>)</w:t>
      </w:r>
      <w:r w:rsidRPr="00FC2D31">
        <w:rPr>
          <w:sz w:val="20"/>
          <w:szCs w:val="20"/>
        </w:rPr>
        <w:t xml:space="preserve"> phase II clinical trials, subject to the prior opinion of the Scientific and Technical Consultative Commission (CTS) of AIFA.</w:t>
      </w:r>
    </w:p>
    <w:p w:rsidR="007B4995" w:rsidRPr="00FC2D31" w:rsidRDefault="007B4995" w:rsidP="007763CF">
      <w:pPr>
        <w:spacing w:before="9" w:line="360" w:lineRule="auto"/>
        <w:rPr>
          <w:sz w:val="20"/>
          <w:szCs w:val="20"/>
        </w:rPr>
      </w:pPr>
    </w:p>
    <w:p w:rsidR="007B4995" w:rsidRPr="00FC2D31" w:rsidRDefault="007B4995" w:rsidP="007763CF">
      <w:pPr>
        <w:pStyle w:val="BodyText"/>
        <w:spacing w:line="360" w:lineRule="auto"/>
        <w:ind w:right="152"/>
        <w:jc w:val="both"/>
        <w:rPr>
          <w:sz w:val="20"/>
          <w:szCs w:val="20"/>
        </w:rPr>
      </w:pPr>
      <w:r w:rsidRPr="00FC2D31">
        <w:rPr>
          <w:sz w:val="20"/>
          <w:szCs w:val="20"/>
        </w:rPr>
        <w:t xml:space="preserve">The medicinal products on which the CTS expresses a </w:t>
      </w:r>
      <w:r w:rsidR="00504029" w:rsidRPr="00FC2D31">
        <w:rPr>
          <w:sz w:val="20"/>
          <w:szCs w:val="20"/>
        </w:rPr>
        <w:t>favorable</w:t>
      </w:r>
      <w:r w:rsidRPr="00FC2D31">
        <w:rPr>
          <w:sz w:val="20"/>
          <w:szCs w:val="20"/>
        </w:rPr>
        <w:t xml:space="preserve"> opinion </w:t>
      </w:r>
      <w:r w:rsidR="002C7944">
        <w:rPr>
          <w:sz w:val="20"/>
          <w:szCs w:val="20"/>
        </w:rPr>
        <w:t>are set out</w:t>
      </w:r>
      <w:r w:rsidRPr="00FC2D31">
        <w:rPr>
          <w:sz w:val="20"/>
          <w:szCs w:val="20"/>
        </w:rPr>
        <w:t xml:space="preserve"> in a special list</w:t>
      </w:r>
      <w:r w:rsidR="002C7944">
        <w:rPr>
          <w:sz w:val="20"/>
          <w:szCs w:val="20"/>
        </w:rPr>
        <w:t xml:space="preserve"> in accordance with the Directive dated</w:t>
      </w:r>
      <w:r w:rsidRPr="00FC2D31">
        <w:rPr>
          <w:sz w:val="20"/>
          <w:szCs w:val="20"/>
        </w:rPr>
        <w:t xml:space="preserve"> 20 July 2000 "the institution of the list of medicinal </w:t>
      </w:r>
      <w:r w:rsidR="00504029" w:rsidRPr="00FC2D31">
        <w:rPr>
          <w:sz w:val="20"/>
          <w:szCs w:val="20"/>
        </w:rPr>
        <w:t>specialties</w:t>
      </w:r>
      <w:r w:rsidRPr="00FC2D31">
        <w:rPr>
          <w:sz w:val="20"/>
          <w:szCs w:val="20"/>
        </w:rPr>
        <w:t xml:space="preserve"> dispensed through the NHS pursuant to law no 648/96".</w:t>
      </w:r>
    </w:p>
    <w:p w:rsidR="007B4995" w:rsidRPr="00FC2D31" w:rsidRDefault="007B4995" w:rsidP="007763CF">
      <w:pPr>
        <w:spacing w:line="360" w:lineRule="auto"/>
        <w:rPr>
          <w:sz w:val="20"/>
          <w:szCs w:val="20"/>
        </w:rPr>
      </w:pPr>
    </w:p>
    <w:p w:rsidR="007B4995" w:rsidRPr="00FC2D31" w:rsidRDefault="007B4995" w:rsidP="00D148C8">
      <w:pPr>
        <w:pStyle w:val="BodyText"/>
        <w:spacing w:line="360" w:lineRule="auto"/>
        <w:ind w:left="0" w:right="152"/>
        <w:jc w:val="both"/>
        <w:rPr>
          <w:sz w:val="20"/>
          <w:szCs w:val="20"/>
        </w:rPr>
      </w:pPr>
      <w:r w:rsidRPr="00FC2D31">
        <w:rPr>
          <w:sz w:val="20"/>
          <w:szCs w:val="20"/>
        </w:rPr>
        <w:t xml:space="preserve">This measure </w:t>
      </w:r>
      <w:r w:rsidR="006F5D42">
        <w:rPr>
          <w:sz w:val="20"/>
          <w:szCs w:val="20"/>
        </w:rPr>
        <w:t>specifies</w:t>
      </w:r>
      <w:r w:rsidRPr="00FC2D31">
        <w:rPr>
          <w:sz w:val="20"/>
          <w:szCs w:val="20"/>
        </w:rPr>
        <w:t xml:space="preserve"> </w:t>
      </w:r>
      <w:r w:rsidR="00D148C8">
        <w:rPr>
          <w:sz w:val="20"/>
          <w:szCs w:val="20"/>
        </w:rPr>
        <w:t>that the</w:t>
      </w:r>
      <w:r w:rsidRPr="00FC2D31">
        <w:rPr>
          <w:sz w:val="20"/>
          <w:szCs w:val="20"/>
        </w:rPr>
        <w:t xml:space="preserve"> requisites </w:t>
      </w:r>
      <w:r w:rsidR="002C7944">
        <w:rPr>
          <w:sz w:val="20"/>
          <w:szCs w:val="20"/>
        </w:rPr>
        <w:t>for</w:t>
      </w:r>
      <w:r w:rsidRPr="00FC2D31">
        <w:rPr>
          <w:sz w:val="20"/>
          <w:szCs w:val="20"/>
        </w:rPr>
        <w:t xml:space="preserve"> a medicinal product </w:t>
      </w:r>
      <w:r w:rsidR="002C7944">
        <w:rPr>
          <w:sz w:val="20"/>
          <w:szCs w:val="20"/>
        </w:rPr>
        <w:t>to</w:t>
      </w:r>
      <w:r w:rsidRPr="00FC2D31">
        <w:rPr>
          <w:sz w:val="20"/>
          <w:szCs w:val="20"/>
        </w:rPr>
        <w:t xml:space="preserve"> be included in this list – as well as </w:t>
      </w:r>
      <w:r w:rsidR="002C7944">
        <w:rPr>
          <w:sz w:val="20"/>
          <w:szCs w:val="20"/>
        </w:rPr>
        <w:t>their provision</w:t>
      </w:r>
      <w:r w:rsidRPr="00FC2D31">
        <w:rPr>
          <w:sz w:val="20"/>
          <w:szCs w:val="20"/>
        </w:rPr>
        <w:t xml:space="preserve"> through the NHS – </w:t>
      </w:r>
      <w:r w:rsidR="00D148C8">
        <w:rPr>
          <w:sz w:val="20"/>
          <w:szCs w:val="20"/>
        </w:rPr>
        <w:t>require</w:t>
      </w:r>
      <w:r w:rsidR="002C7944">
        <w:rPr>
          <w:sz w:val="20"/>
          <w:szCs w:val="20"/>
        </w:rPr>
        <w:t xml:space="preserve"> not</w:t>
      </w:r>
      <w:r w:rsidRPr="00FC2D31">
        <w:rPr>
          <w:sz w:val="20"/>
          <w:szCs w:val="20"/>
        </w:rPr>
        <w:t xml:space="preserve"> only </w:t>
      </w:r>
      <w:r w:rsidR="002C7944">
        <w:rPr>
          <w:sz w:val="20"/>
          <w:szCs w:val="20"/>
        </w:rPr>
        <w:t>the</w:t>
      </w:r>
      <w:r w:rsidRPr="00FC2D31">
        <w:rPr>
          <w:sz w:val="20"/>
          <w:szCs w:val="20"/>
        </w:rPr>
        <w:t xml:space="preserve"> absence of </w:t>
      </w:r>
      <w:r w:rsidR="00116BD0" w:rsidRPr="00FC2D31">
        <w:rPr>
          <w:sz w:val="20"/>
          <w:szCs w:val="20"/>
        </w:rPr>
        <w:t>available</w:t>
      </w:r>
      <w:r w:rsidRPr="00FC2D31">
        <w:rPr>
          <w:sz w:val="20"/>
          <w:szCs w:val="20"/>
        </w:rPr>
        <w:t xml:space="preserve"> alternative </w:t>
      </w:r>
      <w:r w:rsidR="00116BD0" w:rsidRPr="00FC2D31">
        <w:rPr>
          <w:sz w:val="20"/>
          <w:szCs w:val="20"/>
        </w:rPr>
        <w:t>therapies</w:t>
      </w:r>
      <w:r w:rsidRPr="00FC2D31">
        <w:rPr>
          <w:sz w:val="20"/>
          <w:szCs w:val="20"/>
        </w:rPr>
        <w:t xml:space="preserve">, but also the availability of safety and effectiveness data gathered </w:t>
      </w:r>
      <w:r w:rsidR="00351DA7">
        <w:rPr>
          <w:sz w:val="20"/>
          <w:szCs w:val="20"/>
        </w:rPr>
        <w:t>during, at least,</w:t>
      </w:r>
      <w:r w:rsidRPr="00FC2D31">
        <w:rPr>
          <w:sz w:val="20"/>
          <w:szCs w:val="20"/>
        </w:rPr>
        <w:t xml:space="preserve"> phase II clinical trials.</w:t>
      </w:r>
    </w:p>
    <w:p w:rsidR="007B4995" w:rsidRDefault="007B4995" w:rsidP="007763CF">
      <w:pPr>
        <w:spacing w:before="19" w:line="360" w:lineRule="auto"/>
        <w:rPr>
          <w:sz w:val="20"/>
          <w:szCs w:val="20"/>
        </w:rPr>
      </w:pPr>
    </w:p>
    <w:p w:rsidR="00D133EF" w:rsidRDefault="00D133EF" w:rsidP="000A67B0">
      <w:pPr>
        <w:spacing w:before="19" w:line="360" w:lineRule="auto"/>
        <w:jc w:val="both"/>
        <w:rPr>
          <w:sz w:val="20"/>
          <w:szCs w:val="20"/>
        </w:rPr>
      </w:pPr>
      <w:r>
        <w:rPr>
          <w:sz w:val="20"/>
          <w:szCs w:val="20"/>
        </w:rPr>
        <w:t xml:space="preserve">Biological products can be </w:t>
      </w:r>
      <w:r w:rsidR="003413E0">
        <w:rPr>
          <w:sz w:val="20"/>
          <w:szCs w:val="20"/>
        </w:rPr>
        <w:t>dispensed</w:t>
      </w:r>
      <w:r>
        <w:rPr>
          <w:sz w:val="20"/>
          <w:szCs w:val="20"/>
        </w:rPr>
        <w:t xml:space="preserve"> for off-label uses but a biosimilar</w:t>
      </w:r>
      <w:r w:rsidRPr="00D133EF">
        <w:rPr>
          <w:sz w:val="20"/>
          <w:szCs w:val="20"/>
        </w:rPr>
        <w:t xml:space="preserve"> </w:t>
      </w:r>
      <w:r>
        <w:rPr>
          <w:sz w:val="20"/>
          <w:szCs w:val="20"/>
        </w:rPr>
        <w:t xml:space="preserve">cannot be automatically added to </w:t>
      </w:r>
      <w:r w:rsidR="000A67B0">
        <w:rPr>
          <w:sz w:val="20"/>
          <w:szCs w:val="20"/>
        </w:rPr>
        <w:t>this</w:t>
      </w:r>
      <w:r>
        <w:rPr>
          <w:sz w:val="20"/>
          <w:szCs w:val="20"/>
        </w:rPr>
        <w:t xml:space="preserve"> list, </w:t>
      </w:r>
      <w:r w:rsidR="000A67B0">
        <w:rPr>
          <w:sz w:val="20"/>
          <w:szCs w:val="20"/>
        </w:rPr>
        <w:t>even if</w:t>
      </w:r>
      <w:r>
        <w:rPr>
          <w:sz w:val="20"/>
          <w:szCs w:val="20"/>
        </w:rPr>
        <w:t xml:space="preserve"> its reference biological medicinal product has been authorized for such uses and is included in the foregoing list.</w:t>
      </w:r>
      <w:r w:rsidR="00F921F1">
        <w:rPr>
          <w:sz w:val="20"/>
          <w:szCs w:val="20"/>
        </w:rPr>
        <w:t xml:space="preserve"> Instead, the CTS will determine – case by case – for what off-label uses the biosimilar can be used on the basis of the available evidence and literature, clinical experience and if possible tracing the therapeutic action to the same mechanism of action.</w:t>
      </w:r>
    </w:p>
    <w:p w:rsidR="00F921F1" w:rsidRDefault="00F921F1" w:rsidP="007763CF">
      <w:pPr>
        <w:spacing w:before="19" w:line="360" w:lineRule="auto"/>
        <w:rPr>
          <w:sz w:val="20"/>
          <w:szCs w:val="20"/>
        </w:rPr>
      </w:pPr>
    </w:p>
    <w:p w:rsidR="00D024B0" w:rsidRPr="00FC2D31" w:rsidRDefault="00D024B0" w:rsidP="007763CF">
      <w:pPr>
        <w:spacing w:before="19" w:line="360" w:lineRule="auto"/>
        <w:rPr>
          <w:sz w:val="20"/>
          <w:szCs w:val="20"/>
        </w:rPr>
      </w:pPr>
    </w:p>
    <w:p w:rsidR="007B4995" w:rsidRPr="00FC2D31" w:rsidRDefault="007B4995" w:rsidP="007763CF">
      <w:pPr>
        <w:pStyle w:val="Heading1"/>
        <w:spacing w:line="360" w:lineRule="auto"/>
        <w:ind w:right="4806"/>
        <w:jc w:val="both"/>
        <w:rPr>
          <w:b w:val="0"/>
          <w:sz w:val="20"/>
          <w:szCs w:val="20"/>
        </w:rPr>
      </w:pPr>
      <w:r w:rsidRPr="00FC2D31">
        <w:rPr>
          <w:sz w:val="20"/>
          <w:szCs w:val="20"/>
        </w:rPr>
        <w:t>Role of biosimilars in the Italian NHS</w:t>
      </w:r>
    </w:p>
    <w:p w:rsidR="007B4995" w:rsidRPr="00FC2D31" w:rsidRDefault="007B4995" w:rsidP="007763CF">
      <w:pPr>
        <w:spacing w:before="6" w:line="360" w:lineRule="auto"/>
        <w:rPr>
          <w:sz w:val="20"/>
          <w:szCs w:val="20"/>
        </w:rPr>
      </w:pPr>
    </w:p>
    <w:p w:rsidR="007B4995" w:rsidRPr="00FC2D31" w:rsidRDefault="007B4995" w:rsidP="007763CF">
      <w:pPr>
        <w:spacing w:line="360" w:lineRule="auto"/>
        <w:rPr>
          <w:sz w:val="20"/>
          <w:szCs w:val="20"/>
        </w:rPr>
      </w:pPr>
    </w:p>
    <w:p w:rsidR="007B4995" w:rsidRPr="00FC2D31" w:rsidRDefault="007B4995" w:rsidP="007763CF">
      <w:pPr>
        <w:pStyle w:val="BodyText"/>
        <w:spacing w:line="360" w:lineRule="auto"/>
        <w:ind w:right="152"/>
        <w:jc w:val="both"/>
        <w:rPr>
          <w:sz w:val="20"/>
          <w:szCs w:val="20"/>
        </w:rPr>
      </w:pPr>
      <w:r w:rsidRPr="00FC2D31">
        <w:rPr>
          <w:sz w:val="20"/>
          <w:szCs w:val="20"/>
        </w:rPr>
        <w:t>Biologica</w:t>
      </w:r>
      <w:r w:rsidR="00457C52">
        <w:rPr>
          <w:sz w:val="20"/>
          <w:szCs w:val="20"/>
        </w:rPr>
        <w:t>l medicinal products constitute</w:t>
      </w:r>
      <w:r w:rsidRPr="00FC2D31">
        <w:rPr>
          <w:sz w:val="20"/>
          <w:szCs w:val="20"/>
        </w:rPr>
        <w:t xml:space="preserve"> an essential therapeutic resource for the treatment of a variety of serious and debilitating diseases for which no effective therapeutic options were hitherto available. On account of their </w:t>
      </w:r>
      <w:r w:rsidR="00457C52">
        <w:rPr>
          <w:sz w:val="20"/>
          <w:szCs w:val="20"/>
        </w:rPr>
        <w:t xml:space="preserve">high </w:t>
      </w:r>
      <w:r w:rsidRPr="00FC2D31">
        <w:rPr>
          <w:sz w:val="20"/>
          <w:szCs w:val="20"/>
        </w:rPr>
        <w:t xml:space="preserve">development </w:t>
      </w:r>
      <w:r w:rsidR="00457C52">
        <w:rPr>
          <w:sz w:val="20"/>
          <w:szCs w:val="20"/>
        </w:rPr>
        <w:t>and</w:t>
      </w:r>
      <w:r w:rsidRPr="00FC2D31">
        <w:rPr>
          <w:sz w:val="20"/>
          <w:szCs w:val="20"/>
        </w:rPr>
        <w:t xml:space="preserve"> production costs, such products are particularly onerous for the NHS, and for which the correct allocation of therapeutic and economic resources is an ongoing challenge. In this scenario</w:t>
      </w:r>
      <w:r w:rsidR="00941A49">
        <w:rPr>
          <w:sz w:val="20"/>
          <w:szCs w:val="20"/>
        </w:rPr>
        <w:t>,</w:t>
      </w:r>
      <w:r w:rsidRPr="00FC2D31">
        <w:rPr>
          <w:sz w:val="20"/>
          <w:szCs w:val="20"/>
        </w:rPr>
        <w:t xml:space="preserve"> biosimilar medicinal products play a fundamental role </w:t>
      </w:r>
      <w:r w:rsidR="00457C52">
        <w:rPr>
          <w:sz w:val="20"/>
          <w:szCs w:val="20"/>
        </w:rPr>
        <w:t>as they guarantee</w:t>
      </w:r>
      <w:r w:rsidRPr="00FC2D31">
        <w:rPr>
          <w:sz w:val="20"/>
          <w:szCs w:val="20"/>
        </w:rPr>
        <w:t xml:space="preserve"> access to biological medicinal products for all patients that need them </w:t>
      </w:r>
      <w:r w:rsidR="00457C52">
        <w:rPr>
          <w:sz w:val="20"/>
          <w:szCs w:val="20"/>
        </w:rPr>
        <w:t>while</w:t>
      </w:r>
      <w:r w:rsidRPr="00FC2D31">
        <w:rPr>
          <w:sz w:val="20"/>
          <w:szCs w:val="20"/>
        </w:rPr>
        <w:t>, at the same time, contributing to the fin</w:t>
      </w:r>
      <w:r w:rsidR="00941A49">
        <w:rPr>
          <w:sz w:val="20"/>
          <w:szCs w:val="20"/>
        </w:rPr>
        <w:t>ancial sustainability of health</w:t>
      </w:r>
      <w:r w:rsidRPr="00FC2D31">
        <w:rPr>
          <w:sz w:val="20"/>
          <w:szCs w:val="20"/>
        </w:rPr>
        <w:t xml:space="preserve">care systems. </w:t>
      </w:r>
      <w:r w:rsidR="00941A49">
        <w:rPr>
          <w:sz w:val="20"/>
          <w:szCs w:val="20"/>
        </w:rPr>
        <w:t>Thus, by giving</w:t>
      </w:r>
      <w:r w:rsidR="00457C52">
        <w:rPr>
          <w:sz w:val="20"/>
          <w:szCs w:val="20"/>
        </w:rPr>
        <w:t xml:space="preserve"> biosimilars </w:t>
      </w:r>
      <w:r w:rsidR="00941A49">
        <w:rPr>
          <w:sz w:val="20"/>
          <w:szCs w:val="20"/>
        </w:rPr>
        <w:t>marketing authorization</w:t>
      </w:r>
      <w:r w:rsidR="00617EFD">
        <w:rPr>
          <w:sz w:val="20"/>
          <w:szCs w:val="20"/>
        </w:rPr>
        <w:t xml:space="preserve"> the</w:t>
      </w:r>
      <w:r w:rsidR="00941A49">
        <w:rPr>
          <w:sz w:val="20"/>
          <w:szCs w:val="20"/>
        </w:rPr>
        <w:t xml:space="preserve"> </w:t>
      </w:r>
      <w:r w:rsidRPr="00FC2D31">
        <w:rPr>
          <w:sz w:val="20"/>
          <w:szCs w:val="20"/>
        </w:rPr>
        <w:t>access to medicines</w:t>
      </w:r>
      <w:r w:rsidR="00941A49">
        <w:rPr>
          <w:sz w:val="20"/>
          <w:szCs w:val="20"/>
        </w:rPr>
        <w:t xml:space="preserve"> is improved</w:t>
      </w:r>
      <w:r w:rsidRPr="00FC2D31">
        <w:rPr>
          <w:sz w:val="20"/>
          <w:szCs w:val="20"/>
        </w:rPr>
        <w:t xml:space="preserve"> in two ways: </w:t>
      </w:r>
      <w:r w:rsidR="00457C52">
        <w:rPr>
          <w:sz w:val="20"/>
          <w:szCs w:val="20"/>
        </w:rPr>
        <w:t>f</w:t>
      </w:r>
      <w:r w:rsidRPr="00FC2D31">
        <w:rPr>
          <w:sz w:val="20"/>
          <w:szCs w:val="20"/>
        </w:rPr>
        <w:t xml:space="preserve">irstly, biosimilars </w:t>
      </w:r>
      <w:r w:rsidR="00457C52">
        <w:rPr>
          <w:sz w:val="20"/>
          <w:szCs w:val="20"/>
        </w:rPr>
        <w:t xml:space="preserve">– all things being equal – </w:t>
      </w:r>
      <w:r w:rsidR="00941A49">
        <w:rPr>
          <w:sz w:val="20"/>
          <w:szCs w:val="20"/>
        </w:rPr>
        <w:t>offset</w:t>
      </w:r>
      <w:r w:rsidRPr="00FC2D31">
        <w:rPr>
          <w:sz w:val="20"/>
          <w:szCs w:val="20"/>
        </w:rPr>
        <w:t xml:space="preserve"> </w:t>
      </w:r>
      <w:r w:rsidR="007E0EC9">
        <w:rPr>
          <w:sz w:val="20"/>
          <w:szCs w:val="20"/>
        </w:rPr>
        <w:t xml:space="preserve">high-priced </w:t>
      </w:r>
      <w:r w:rsidR="00D22B52">
        <w:rPr>
          <w:sz w:val="20"/>
          <w:szCs w:val="20"/>
        </w:rPr>
        <w:t>and less accessible</w:t>
      </w:r>
      <w:r w:rsidR="00D22B52" w:rsidRPr="00FC2D31">
        <w:rPr>
          <w:sz w:val="20"/>
          <w:szCs w:val="20"/>
        </w:rPr>
        <w:t xml:space="preserve"> </w:t>
      </w:r>
      <w:r w:rsidRPr="00FC2D31">
        <w:rPr>
          <w:sz w:val="20"/>
          <w:szCs w:val="20"/>
        </w:rPr>
        <w:t>biological medicinal products</w:t>
      </w:r>
      <w:r w:rsidR="00D22B52">
        <w:rPr>
          <w:sz w:val="20"/>
          <w:szCs w:val="20"/>
        </w:rPr>
        <w:t xml:space="preserve"> by virtue of their</w:t>
      </w:r>
      <w:r w:rsidR="007E0EC9">
        <w:rPr>
          <w:sz w:val="20"/>
          <w:szCs w:val="20"/>
        </w:rPr>
        <w:t xml:space="preserve"> </w:t>
      </w:r>
      <w:r w:rsidRPr="00FC2D31">
        <w:rPr>
          <w:sz w:val="20"/>
          <w:szCs w:val="20"/>
        </w:rPr>
        <w:t xml:space="preserve">more sustainable and accessible prices, </w:t>
      </w:r>
      <w:r w:rsidR="007E0EC9">
        <w:rPr>
          <w:sz w:val="20"/>
          <w:szCs w:val="20"/>
        </w:rPr>
        <w:t xml:space="preserve">and </w:t>
      </w:r>
      <w:r w:rsidRPr="00FC2D31">
        <w:rPr>
          <w:sz w:val="20"/>
          <w:szCs w:val="20"/>
        </w:rPr>
        <w:t xml:space="preserve">stimulate competitive market mechanisms </w:t>
      </w:r>
      <w:r w:rsidR="00D22B52">
        <w:rPr>
          <w:sz w:val="20"/>
          <w:szCs w:val="20"/>
        </w:rPr>
        <w:t>and hence</w:t>
      </w:r>
      <w:r w:rsidRPr="00FC2D31">
        <w:rPr>
          <w:sz w:val="20"/>
          <w:szCs w:val="20"/>
        </w:rPr>
        <w:t xml:space="preserve"> price reductions; </w:t>
      </w:r>
      <w:r w:rsidR="007E0EC9">
        <w:rPr>
          <w:sz w:val="20"/>
          <w:szCs w:val="20"/>
        </w:rPr>
        <w:t>s</w:t>
      </w:r>
      <w:r w:rsidRPr="00FC2D31">
        <w:rPr>
          <w:sz w:val="20"/>
          <w:szCs w:val="20"/>
        </w:rPr>
        <w:t xml:space="preserve">econdly, the savings obtained from the use of biosimilars can contribute towards the financing of new </w:t>
      </w:r>
      <w:r w:rsidRPr="00FC2D31">
        <w:rPr>
          <w:sz w:val="20"/>
          <w:szCs w:val="20"/>
        </w:rPr>
        <w:lastRenderedPageBreak/>
        <w:t>medicinal products, including biotechnological ones, th</w:t>
      </w:r>
      <w:r w:rsidR="007E0EC9">
        <w:rPr>
          <w:sz w:val="20"/>
          <w:szCs w:val="20"/>
        </w:rPr>
        <w:t>us</w:t>
      </w:r>
      <w:r w:rsidRPr="00FC2D31">
        <w:rPr>
          <w:sz w:val="20"/>
          <w:szCs w:val="20"/>
        </w:rPr>
        <w:t xml:space="preserve"> making therapeutic innovation increasingly accessible.</w:t>
      </w:r>
    </w:p>
    <w:p w:rsidR="007B4995" w:rsidRPr="00FC2D31" w:rsidRDefault="007B4995" w:rsidP="007763CF">
      <w:pPr>
        <w:spacing w:before="9" w:line="360" w:lineRule="auto"/>
        <w:rPr>
          <w:sz w:val="20"/>
          <w:szCs w:val="20"/>
        </w:rPr>
      </w:pPr>
    </w:p>
    <w:p w:rsidR="007B4995" w:rsidRPr="00FC2D31" w:rsidRDefault="007B4995" w:rsidP="007763CF">
      <w:pPr>
        <w:pStyle w:val="BodyText"/>
        <w:spacing w:line="360" w:lineRule="auto"/>
        <w:ind w:right="152"/>
        <w:jc w:val="both"/>
        <w:rPr>
          <w:sz w:val="20"/>
          <w:szCs w:val="20"/>
        </w:rPr>
      </w:pPr>
      <w:r w:rsidRPr="00FC2D31">
        <w:rPr>
          <w:sz w:val="20"/>
          <w:szCs w:val="20"/>
        </w:rPr>
        <w:t xml:space="preserve">The European market for biosimilars is important and expanding, </w:t>
      </w:r>
      <w:r w:rsidR="004E3686">
        <w:rPr>
          <w:sz w:val="20"/>
          <w:szCs w:val="20"/>
        </w:rPr>
        <w:t>not</w:t>
      </w:r>
      <w:r w:rsidRPr="00FC2D31">
        <w:rPr>
          <w:sz w:val="20"/>
          <w:szCs w:val="20"/>
        </w:rPr>
        <w:t xml:space="preserve"> only for the manufacturers of these medicinal products but also for the health systems that sustain the costs of such products. </w:t>
      </w:r>
      <w:r w:rsidR="004E3686">
        <w:rPr>
          <w:sz w:val="20"/>
          <w:szCs w:val="20"/>
        </w:rPr>
        <w:t>Nevertheless</w:t>
      </w:r>
      <w:r w:rsidRPr="00FC2D31">
        <w:rPr>
          <w:sz w:val="20"/>
          <w:szCs w:val="20"/>
        </w:rPr>
        <w:t xml:space="preserve">, it should be noted that considerable differences exist between member states of the EU in terms not only </w:t>
      </w:r>
      <w:r w:rsidR="004E3686" w:rsidRPr="00FC2D31">
        <w:rPr>
          <w:sz w:val="20"/>
          <w:szCs w:val="20"/>
        </w:rPr>
        <w:t xml:space="preserve">of </w:t>
      </w:r>
      <w:r w:rsidRPr="00FC2D31">
        <w:rPr>
          <w:sz w:val="20"/>
          <w:szCs w:val="20"/>
        </w:rPr>
        <w:t xml:space="preserve">the frequency with which biosimilars are used but also </w:t>
      </w:r>
      <w:r w:rsidR="004E3686">
        <w:rPr>
          <w:sz w:val="20"/>
          <w:szCs w:val="20"/>
        </w:rPr>
        <w:t xml:space="preserve">of </w:t>
      </w:r>
      <w:r w:rsidRPr="00FC2D31">
        <w:rPr>
          <w:sz w:val="20"/>
          <w:szCs w:val="20"/>
        </w:rPr>
        <w:t>price fixing and regulation policies.</w:t>
      </w:r>
    </w:p>
    <w:p w:rsidR="007B4995" w:rsidRPr="00FC2D31" w:rsidRDefault="007B4995" w:rsidP="007763CF">
      <w:pPr>
        <w:spacing w:line="360" w:lineRule="auto"/>
        <w:rPr>
          <w:sz w:val="20"/>
          <w:szCs w:val="20"/>
        </w:rPr>
      </w:pPr>
    </w:p>
    <w:p w:rsidR="007B4995" w:rsidRDefault="007B4995" w:rsidP="007763CF">
      <w:pPr>
        <w:pStyle w:val="BodyText"/>
        <w:spacing w:line="360" w:lineRule="auto"/>
        <w:ind w:right="152"/>
        <w:jc w:val="both"/>
        <w:rPr>
          <w:sz w:val="20"/>
          <w:szCs w:val="20"/>
        </w:rPr>
      </w:pPr>
      <w:r w:rsidRPr="00FC2D31">
        <w:rPr>
          <w:sz w:val="20"/>
          <w:szCs w:val="20"/>
        </w:rPr>
        <w:t xml:space="preserve">In Italy, identical pricing and reimbursement procedures exist for biological and biosimilar products and entail a negotiated pricing procedure conducted between AIFA and the manufacturer (CIPE resolution, 1 February 2001). In the case of biosimilars, </w:t>
      </w:r>
      <w:r w:rsidR="004E3686">
        <w:rPr>
          <w:sz w:val="20"/>
          <w:szCs w:val="20"/>
        </w:rPr>
        <w:t xml:space="preserve">where </w:t>
      </w:r>
      <w:r w:rsidRPr="00FC2D31">
        <w:rPr>
          <w:sz w:val="20"/>
          <w:szCs w:val="20"/>
        </w:rPr>
        <w:t xml:space="preserve">pricing procedure is </w:t>
      </w:r>
      <w:r w:rsidR="00504029" w:rsidRPr="00FC2D31">
        <w:rPr>
          <w:sz w:val="20"/>
          <w:szCs w:val="20"/>
        </w:rPr>
        <w:t>analogous</w:t>
      </w:r>
      <w:r w:rsidRPr="00FC2D31">
        <w:rPr>
          <w:sz w:val="20"/>
          <w:szCs w:val="20"/>
        </w:rPr>
        <w:t xml:space="preserve"> to that for generic or equivalent medicinal products, price negotiation </w:t>
      </w:r>
      <w:r w:rsidR="006F5D42">
        <w:rPr>
          <w:sz w:val="20"/>
          <w:szCs w:val="20"/>
        </w:rPr>
        <w:t>centers</w:t>
      </w:r>
      <w:r w:rsidR="00847C1D">
        <w:rPr>
          <w:sz w:val="20"/>
          <w:szCs w:val="20"/>
        </w:rPr>
        <w:t xml:space="preserve"> upon</w:t>
      </w:r>
      <w:r w:rsidRPr="00FC2D31">
        <w:rPr>
          <w:sz w:val="20"/>
          <w:szCs w:val="20"/>
        </w:rPr>
        <w:t xml:space="preserve"> obligatory price reduction</w:t>
      </w:r>
      <w:r w:rsidR="004E3686">
        <w:rPr>
          <w:sz w:val="20"/>
          <w:szCs w:val="20"/>
        </w:rPr>
        <w:t>s</w:t>
      </w:r>
      <w:r w:rsidRPr="00FC2D31">
        <w:rPr>
          <w:sz w:val="20"/>
          <w:szCs w:val="20"/>
        </w:rPr>
        <w:t xml:space="preserve"> of at least 20% with respect to that of the reference medicinal product.</w:t>
      </w:r>
    </w:p>
    <w:p w:rsidR="004E3686" w:rsidRPr="00FC2D31" w:rsidRDefault="004E3686" w:rsidP="007763CF">
      <w:pPr>
        <w:pStyle w:val="BodyText"/>
        <w:spacing w:line="360" w:lineRule="auto"/>
        <w:ind w:right="152"/>
        <w:jc w:val="both"/>
        <w:rPr>
          <w:sz w:val="20"/>
          <w:szCs w:val="20"/>
        </w:rPr>
      </w:pPr>
    </w:p>
    <w:p w:rsidR="007B4995" w:rsidRPr="00FC2D31" w:rsidRDefault="007B4995" w:rsidP="007763CF">
      <w:pPr>
        <w:pStyle w:val="Heading1"/>
        <w:spacing w:before="57" w:line="360" w:lineRule="auto"/>
        <w:ind w:right="1483"/>
        <w:jc w:val="both"/>
        <w:rPr>
          <w:b w:val="0"/>
          <w:sz w:val="20"/>
          <w:szCs w:val="20"/>
        </w:rPr>
      </w:pPr>
      <w:r w:rsidRPr="00FC2D31">
        <w:rPr>
          <w:sz w:val="20"/>
          <w:szCs w:val="20"/>
        </w:rPr>
        <w:t xml:space="preserve">Biosimilars as an alternative to innovator biological products: </w:t>
      </w:r>
      <w:r w:rsidR="004E3686">
        <w:rPr>
          <w:sz w:val="20"/>
          <w:szCs w:val="20"/>
        </w:rPr>
        <w:t xml:space="preserve"> t</w:t>
      </w:r>
      <w:r w:rsidRPr="00FC2D31">
        <w:rPr>
          <w:sz w:val="20"/>
          <w:szCs w:val="20"/>
        </w:rPr>
        <w:t>he question of substitutability</w:t>
      </w:r>
    </w:p>
    <w:p w:rsidR="007B4995" w:rsidRPr="00FC2D31" w:rsidRDefault="007B4995" w:rsidP="007763CF">
      <w:pPr>
        <w:spacing w:before="9" w:line="360" w:lineRule="auto"/>
        <w:rPr>
          <w:sz w:val="20"/>
          <w:szCs w:val="20"/>
        </w:rPr>
      </w:pPr>
    </w:p>
    <w:p w:rsidR="007B4995" w:rsidRPr="00FC2D31" w:rsidRDefault="007B4995" w:rsidP="007763CF">
      <w:pPr>
        <w:spacing w:line="360" w:lineRule="auto"/>
        <w:rPr>
          <w:sz w:val="20"/>
          <w:szCs w:val="20"/>
        </w:rPr>
      </w:pPr>
    </w:p>
    <w:p w:rsidR="007B4995" w:rsidRPr="00FC2D31" w:rsidRDefault="007B4995" w:rsidP="007763CF">
      <w:pPr>
        <w:pStyle w:val="BodyText"/>
        <w:spacing w:line="360" w:lineRule="auto"/>
        <w:ind w:right="153"/>
        <w:jc w:val="both"/>
        <w:rPr>
          <w:sz w:val="20"/>
          <w:szCs w:val="20"/>
        </w:rPr>
      </w:pPr>
      <w:r w:rsidRPr="00FC2D31">
        <w:rPr>
          <w:sz w:val="20"/>
          <w:szCs w:val="20"/>
        </w:rPr>
        <w:t xml:space="preserve">The question of substitutability, which </w:t>
      </w:r>
      <w:r w:rsidR="00504029" w:rsidRPr="00FC2D31">
        <w:rPr>
          <w:sz w:val="20"/>
          <w:szCs w:val="20"/>
        </w:rPr>
        <w:t>characterizes</w:t>
      </w:r>
      <w:r w:rsidRPr="00FC2D31">
        <w:rPr>
          <w:sz w:val="20"/>
          <w:szCs w:val="20"/>
        </w:rPr>
        <w:t xml:space="preserve"> the world of equivalent medicinal products, represents an important aspect for the acceptance of biosimilar medicinal products.</w:t>
      </w:r>
    </w:p>
    <w:p w:rsidR="007B4995" w:rsidRPr="00FC2D31" w:rsidRDefault="007B4995" w:rsidP="007763CF">
      <w:pPr>
        <w:spacing w:line="360" w:lineRule="auto"/>
        <w:rPr>
          <w:sz w:val="20"/>
          <w:szCs w:val="20"/>
        </w:rPr>
      </w:pPr>
    </w:p>
    <w:p w:rsidR="007B4995" w:rsidRPr="00FC2D31" w:rsidRDefault="007B4995" w:rsidP="007763CF">
      <w:pPr>
        <w:pStyle w:val="BodyText"/>
        <w:spacing w:line="360" w:lineRule="auto"/>
        <w:ind w:right="153"/>
        <w:jc w:val="both"/>
        <w:rPr>
          <w:sz w:val="20"/>
          <w:szCs w:val="20"/>
        </w:rPr>
      </w:pPr>
      <w:r w:rsidRPr="00FC2D31">
        <w:rPr>
          <w:sz w:val="20"/>
          <w:szCs w:val="20"/>
        </w:rPr>
        <w:t xml:space="preserve">Before dealing </w:t>
      </w:r>
      <w:r w:rsidR="004E3686" w:rsidRPr="00FC2D31">
        <w:rPr>
          <w:sz w:val="20"/>
          <w:szCs w:val="20"/>
        </w:rPr>
        <w:t xml:space="preserve">in detail </w:t>
      </w:r>
      <w:r w:rsidRPr="00FC2D31">
        <w:rPr>
          <w:sz w:val="20"/>
          <w:szCs w:val="20"/>
        </w:rPr>
        <w:t xml:space="preserve">with the question of substitutability it is necessary to clarify the </w:t>
      </w:r>
      <w:r w:rsidR="004E3686">
        <w:rPr>
          <w:sz w:val="20"/>
          <w:szCs w:val="20"/>
        </w:rPr>
        <w:t xml:space="preserve">two </w:t>
      </w:r>
      <w:r w:rsidRPr="00FC2D31">
        <w:rPr>
          <w:sz w:val="20"/>
          <w:szCs w:val="20"/>
        </w:rPr>
        <w:t>concepts of interchangeability and substitutability.</w:t>
      </w:r>
    </w:p>
    <w:p w:rsidR="007B4995" w:rsidRPr="00FC2D31" w:rsidRDefault="007B4995" w:rsidP="007763CF">
      <w:pPr>
        <w:spacing w:line="360" w:lineRule="auto"/>
        <w:rPr>
          <w:sz w:val="20"/>
          <w:szCs w:val="20"/>
        </w:rPr>
      </w:pPr>
    </w:p>
    <w:p w:rsidR="007B4995" w:rsidRPr="00FC2D31" w:rsidRDefault="004E3686" w:rsidP="007763CF">
      <w:pPr>
        <w:pStyle w:val="BodyText"/>
        <w:spacing w:line="360" w:lineRule="auto"/>
        <w:ind w:right="152"/>
        <w:jc w:val="both"/>
        <w:rPr>
          <w:sz w:val="20"/>
          <w:szCs w:val="20"/>
        </w:rPr>
      </w:pPr>
      <w:r>
        <w:rPr>
          <w:sz w:val="20"/>
          <w:szCs w:val="20"/>
        </w:rPr>
        <w:t>I</w:t>
      </w:r>
      <w:r w:rsidRPr="00FC2D31">
        <w:rPr>
          <w:sz w:val="20"/>
          <w:szCs w:val="20"/>
        </w:rPr>
        <w:t xml:space="preserve">n terms of medical practice </w:t>
      </w:r>
      <w:r w:rsidR="007B4995" w:rsidRPr="00FC2D31">
        <w:rPr>
          <w:b/>
          <w:sz w:val="20"/>
          <w:szCs w:val="20"/>
        </w:rPr>
        <w:t>interchangeability</w:t>
      </w:r>
      <w:r w:rsidR="007B4995" w:rsidRPr="00FC2D31">
        <w:rPr>
          <w:sz w:val="20"/>
          <w:szCs w:val="20"/>
        </w:rPr>
        <w:t xml:space="preserve"> </w:t>
      </w:r>
      <w:r w:rsidR="00A4372F">
        <w:rPr>
          <w:sz w:val="20"/>
          <w:szCs w:val="20"/>
        </w:rPr>
        <w:t>is defined as follows</w:t>
      </w:r>
      <w:r w:rsidR="007B4995" w:rsidRPr="00FC2D31">
        <w:rPr>
          <w:sz w:val="20"/>
          <w:szCs w:val="20"/>
        </w:rPr>
        <w:t>:</w:t>
      </w:r>
    </w:p>
    <w:p w:rsidR="007B4995" w:rsidRPr="00FC2D31" w:rsidRDefault="00504029" w:rsidP="007763CF">
      <w:pPr>
        <w:numPr>
          <w:ilvl w:val="0"/>
          <w:numId w:val="1"/>
        </w:numPr>
        <w:tabs>
          <w:tab w:val="left" w:pos="820"/>
        </w:tabs>
        <w:spacing w:before="12" w:line="360" w:lineRule="auto"/>
        <w:ind w:left="832" w:right="154" w:hanging="360"/>
        <w:jc w:val="both"/>
        <w:rPr>
          <w:rFonts w:ascii="Calibri" w:eastAsia="Calibri" w:hAnsi="Calibri" w:cs="Calibri"/>
          <w:sz w:val="20"/>
          <w:szCs w:val="20"/>
        </w:rPr>
      </w:pPr>
      <w:r w:rsidRPr="00FC2D31">
        <w:rPr>
          <w:rFonts w:ascii="Calibri" w:eastAsia="Calibri" w:hAnsi="Calibri" w:cs="Calibri"/>
          <w:sz w:val="20"/>
          <w:szCs w:val="20"/>
        </w:rPr>
        <w:t xml:space="preserve">According to </w:t>
      </w:r>
      <w:r w:rsidR="00A4372F">
        <w:rPr>
          <w:rFonts w:ascii="Calibri" w:eastAsia="Calibri" w:hAnsi="Calibri" w:cs="Calibri"/>
          <w:sz w:val="20"/>
          <w:szCs w:val="20"/>
        </w:rPr>
        <w:t>a</w:t>
      </w:r>
      <w:r w:rsidRPr="00FC2D31">
        <w:rPr>
          <w:rFonts w:ascii="Calibri" w:eastAsia="Calibri" w:hAnsi="Calibri" w:cs="Calibri"/>
          <w:sz w:val="20"/>
          <w:szCs w:val="20"/>
        </w:rPr>
        <w:t xml:space="preserve"> WHO </w:t>
      </w:r>
      <w:r w:rsidR="00A4372F">
        <w:rPr>
          <w:rFonts w:ascii="Calibri" w:eastAsia="Calibri" w:hAnsi="Calibri" w:cs="Calibri"/>
          <w:sz w:val="20"/>
          <w:szCs w:val="20"/>
        </w:rPr>
        <w:t>an</w:t>
      </w:r>
      <w:r w:rsidRPr="00FC2D31">
        <w:rPr>
          <w:rFonts w:ascii="Calibri" w:eastAsia="Calibri" w:hAnsi="Calibri" w:cs="Calibri"/>
          <w:sz w:val="20"/>
          <w:szCs w:val="20"/>
        </w:rPr>
        <w:t xml:space="preserve"> interchange</w:t>
      </w:r>
      <w:r w:rsidR="00A4372F">
        <w:rPr>
          <w:rFonts w:ascii="Calibri" w:eastAsia="Calibri" w:hAnsi="Calibri" w:cs="Calibri"/>
          <w:sz w:val="20"/>
          <w:szCs w:val="20"/>
        </w:rPr>
        <w:t>able pharmaceutical product is</w:t>
      </w:r>
      <w:r w:rsidRPr="00FC2D31">
        <w:rPr>
          <w:rFonts w:ascii="Calibri" w:eastAsia="Calibri" w:hAnsi="Calibri" w:cs="Calibri"/>
          <w:sz w:val="20"/>
          <w:szCs w:val="20"/>
        </w:rPr>
        <w:t>: "</w:t>
      </w:r>
      <w:r w:rsidRPr="00FC2D31">
        <w:rPr>
          <w:rFonts w:ascii="Calibri" w:eastAsia="Calibri" w:hAnsi="Calibri" w:cs="Calibri"/>
          <w:i/>
          <w:sz w:val="20"/>
          <w:szCs w:val="20"/>
        </w:rPr>
        <w:t>a product whose clinical effect is forecast to be the same as a comparative product</w:t>
      </w:r>
      <w:r w:rsidR="00D22B52">
        <w:rPr>
          <w:rFonts w:ascii="Calibri" w:eastAsia="Calibri" w:hAnsi="Calibri" w:cs="Calibri"/>
          <w:i/>
          <w:sz w:val="20"/>
          <w:szCs w:val="20"/>
        </w:rPr>
        <w:t>,</w:t>
      </w:r>
      <w:r w:rsidRPr="00FC2D31">
        <w:rPr>
          <w:rFonts w:ascii="Calibri" w:eastAsia="Calibri" w:hAnsi="Calibri" w:cs="Calibri"/>
          <w:i/>
          <w:sz w:val="20"/>
          <w:szCs w:val="20"/>
        </w:rPr>
        <w:t xml:space="preserve"> which it can replace in clinical practice</w:t>
      </w:r>
      <w:r w:rsidRPr="00FC2D31">
        <w:rPr>
          <w:rFonts w:ascii="Calibri" w:eastAsia="Calibri" w:hAnsi="Calibri" w:cs="Calibri"/>
          <w:sz w:val="20"/>
          <w:szCs w:val="20"/>
        </w:rPr>
        <w:t xml:space="preserve">" (Ref: </w:t>
      </w:r>
      <w:r w:rsidRPr="00FC2D31">
        <w:rPr>
          <w:rFonts w:ascii="Calibri" w:eastAsia="Calibri" w:hAnsi="Calibri" w:cs="Calibri"/>
          <w:i/>
          <w:sz w:val="20"/>
          <w:szCs w:val="20"/>
        </w:rPr>
        <w:t>WHO Technical Report Series</w:t>
      </w:r>
      <w:r w:rsidRPr="00FC2D31">
        <w:rPr>
          <w:rFonts w:ascii="Calibri" w:eastAsia="Calibri" w:hAnsi="Calibri" w:cs="Calibri"/>
          <w:sz w:val="20"/>
          <w:szCs w:val="20"/>
        </w:rPr>
        <w:t>, No. 937, 2006).</w:t>
      </w:r>
    </w:p>
    <w:p w:rsidR="007B4995" w:rsidRPr="00FC2D31" w:rsidRDefault="007B4995" w:rsidP="007763CF">
      <w:pPr>
        <w:pStyle w:val="BodyText"/>
        <w:numPr>
          <w:ilvl w:val="0"/>
          <w:numId w:val="1"/>
        </w:numPr>
        <w:tabs>
          <w:tab w:val="left" w:pos="820"/>
        </w:tabs>
        <w:spacing w:before="11" w:line="360" w:lineRule="auto"/>
        <w:ind w:left="832" w:right="153" w:hanging="360"/>
        <w:jc w:val="both"/>
        <w:rPr>
          <w:sz w:val="20"/>
          <w:szCs w:val="20"/>
        </w:rPr>
      </w:pPr>
      <w:r w:rsidRPr="00FC2D31">
        <w:rPr>
          <w:sz w:val="20"/>
          <w:szCs w:val="20"/>
        </w:rPr>
        <w:t>Interchangeability</w:t>
      </w:r>
      <w:r w:rsidR="00A4372F">
        <w:rPr>
          <w:sz w:val="20"/>
          <w:szCs w:val="20"/>
        </w:rPr>
        <w:t xml:space="preserve"> refers to the medical practice</w:t>
      </w:r>
      <w:r w:rsidRPr="00FC2D31">
        <w:rPr>
          <w:sz w:val="20"/>
          <w:szCs w:val="20"/>
        </w:rPr>
        <w:t xml:space="preserve"> of replacing one medicinal product with an equivalent product in a given clinical context at the initiative of</w:t>
      </w:r>
      <w:r w:rsidR="00A4372F">
        <w:rPr>
          <w:sz w:val="20"/>
          <w:szCs w:val="20"/>
        </w:rPr>
        <w:t>,</w:t>
      </w:r>
      <w:r w:rsidRPr="00FC2D31">
        <w:rPr>
          <w:sz w:val="20"/>
          <w:szCs w:val="20"/>
        </w:rPr>
        <w:t xml:space="preserve"> or in agreement with</w:t>
      </w:r>
      <w:r w:rsidR="00A4372F">
        <w:rPr>
          <w:sz w:val="20"/>
          <w:szCs w:val="20"/>
        </w:rPr>
        <w:t>,</w:t>
      </w:r>
      <w:r w:rsidRPr="00FC2D31">
        <w:rPr>
          <w:sz w:val="20"/>
          <w:szCs w:val="20"/>
        </w:rPr>
        <w:t xml:space="preserve"> </w:t>
      </w:r>
      <w:r w:rsidR="00A4372F">
        <w:rPr>
          <w:sz w:val="20"/>
          <w:szCs w:val="20"/>
        </w:rPr>
        <w:t>a</w:t>
      </w:r>
      <w:r w:rsidRPr="00FC2D31">
        <w:rPr>
          <w:sz w:val="20"/>
          <w:szCs w:val="20"/>
        </w:rPr>
        <w:t xml:space="preserve"> prescribing physician (definition</w:t>
      </w:r>
      <w:r w:rsidRPr="00FC2D31">
        <w:rPr>
          <w:i/>
          <w:sz w:val="20"/>
          <w:szCs w:val="20"/>
        </w:rPr>
        <w:t xml:space="preserve"> </w:t>
      </w:r>
      <w:r w:rsidR="00A4372F">
        <w:rPr>
          <w:i/>
          <w:sz w:val="20"/>
          <w:szCs w:val="20"/>
        </w:rPr>
        <w:t xml:space="preserve">of the </w:t>
      </w:r>
      <w:r w:rsidRPr="00FC2D31">
        <w:rPr>
          <w:i/>
          <w:sz w:val="20"/>
          <w:szCs w:val="20"/>
        </w:rPr>
        <w:t>European Generic medicines Association</w:t>
      </w:r>
      <w:r w:rsidRPr="00FC2D31">
        <w:rPr>
          <w:sz w:val="20"/>
          <w:szCs w:val="20"/>
        </w:rPr>
        <w:t>, EGA).</w:t>
      </w:r>
    </w:p>
    <w:p w:rsidR="007B4995" w:rsidRPr="00FC2D31" w:rsidRDefault="007B4995" w:rsidP="007763CF">
      <w:pPr>
        <w:pStyle w:val="BodyText"/>
        <w:numPr>
          <w:ilvl w:val="0"/>
          <w:numId w:val="1"/>
        </w:numPr>
        <w:tabs>
          <w:tab w:val="left" w:pos="820"/>
        </w:tabs>
        <w:spacing w:before="12" w:line="360" w:lineRule="auto"/>
        <w:ind w:left="832" w:right="152" w:hanging="360"/>
        <w:jc w:val="both"/>
        <w:rPr>
          <w:sz w:val="20"/>
          <w:szCs w:val="20"/>
        </w:rPr>
      </w:pPr>
      <w:r w:rsidRPr="00FC2D31">
        <w:rPr>
          <w:sz w:val="20"/>
          <w:szCs w:val="20"/>
        </w:rPr>
        <w:t>Interchangeability refers to the medical practice of replacing one medicinal product with another with the same risk/benefit profile and whose clinical effect</w:t>
      </w:r>
      <w:r w:rsidR="00A4372F">
        <w:rPr>
          <w:sz w:val="20"/>
          <w:szCs w:val="20"/>
        </w:rPr>
        <w:t>,</w:t>
      </w:r>
      <w:r w:rsidRPr="00FC2D31">
        <w:rPr>
          <w:sz w:val="20"/>
          <w:szCs w:val="20"/>
        </w:rPr>
        <w:t xml:space="preserve"> </w:t>
      </w:r>
      <w:r w:rsidR="00A4372F" w:rsidRPr="00FC2D31">
        <w:rPr>
          <w:sz w:val="20"/>
          <w:szCs w:val="20"/>
        </w:rPr>
        <w:t>in a given clinical context</w:t>
      </w:r>
      <w:r w:rsidR="00A4372F">
        <w:rPr>
          <w:sz w:val="20"/>
          <w:szCs w:val="20"/>
        </w:rPr>
        <w:t>,</w:t>
      </w:r>
      <w:r w:rsidR="00A4372F" w:rsidRPr="00FC2D31">
        <w:rPr>
          <w:sz w:val="20"/>
          <w:szCs w:val="20"/>
        </w:rPr>
        <w:t xml:space="preserve"> </w:t>
      </w:r>
      <w:r w:rsidRPr="00FC2D31">
        <w:rPr>
          <w:sz w:val="20"/>
          <w:szCs w:val="20"/>
        </w:rPr>
        <w:t xml:space="preserve">is expected to be the same at the initiative of </w:t>
      </w:r>
      <w:r w:rsidR="00A4372F">
        <w:rPr>
          <w:sz w:val="20"/>
          <w:szCs w:val="20"/>
        </w:rPr>
        <w:t>or</w:t>
      </w:r>
      <w:r w:rsidRPr="00FC2D31">
        <w:rPr>
          <w:sz w:val="20"/>
          <w:szCs w:val="20"/>
        </w:rPr>
        <w:t xml:space="preserve"> in agreement with the prescribing physician. (Definition </w:t>
      </w:r>
      <w:r w:rsidR="00A4372F">
        <w:rPr>
          <w:sz w:val="20"/>
          <w:szCs w:val="20"/>
        </w:rPr>
        <w:t xml:space="preserve">of </w:t>
      </w:r>
      <w:r w:rsidRPr="00FC2D31">
        <w:rPr>
          <w:sz w:val="20"/>
          <w:szCs w:val="20"/>
        </w:rPr>
        <w:t>EFPIA-EBE/EuropaBIO).</w:t>
      </w:r>
    </w:p>
    <w:p w:rsidR="007B4995" w:rsidRPr="00FC2D31" w:rsidRDefault="007B4995" w:rsidP="007763CF">
      <w:pPr>
        <w:spacing w:before="9" w:line="360" w:lineRule="auto"/>
        <w:rPr>
          <w:sz w:val="20"/>
          <w:szCs w:val="20"/>
        </w:rPr>
      </w:pPr>
    </w:p>
    <w:p w:rsidR="007B4995" w:rsidRPr="00FC2D31" w:rsidRDefault="00A4372F" w:rsidP="007763CF">
      <w:pPr>
        <w:tabs>
          <w:tab w:val="left" w:pos="551"/>
        </w:tabs>
        <w:spacing w:line="360" w:lineRule="auto"/>
        <w:ind w:left="112" w:right="153"/>
        <w:jc w:val="both"/>
        <w:rPr>
          <w:rFonts w:ascii="Calibri" w:eastAsia="Calibri" w:hAnsi="Calibri" w:cs="Calibri"/>
          <w:sz w:val="20"/>
          <w:szCs w:val="20"/>
        </w:rPr>
      </w:pPr>
      <w:r>
        <w:rPr>
          <w:rFonts w:ascii="Calibri" w:eastAsia="Calibri" w:hAnsi="Calibri" w:cs="Calibri"/>
          <w:sz w:val="20"/>
          <w:szCs w:val="20"/>
        </w:rPr>
        <w:t>On the contrary,</w:t>
      </w:r>
      <w:r w:rsidR="007B4995" w:rsidRPr="00FC2D31">
        <w:rPr>
          <w:rFonts w:ascii="Calibri" w:eastAsia="Calibri" w:hAnsi="Calibri" w:cs="Calibri"/>
          <w:sz w:val="20"/>
          <w:szCs w:val="20"/>
        </w:rPr>
        <w:t xml:space="preserve"> and in the exclusive context of the United States, the terms "interchangeable" or "interchangeability" with reference to a biological product indicate that</w:t>
      </w:r>
      <w:r w:rsidR="007B4995" w:rsidRPr="00FC2D31">
        <w:rPr>
          <w:rFonts w:ascii="Calibri" w:eastAsia="Calibri" w:hAnsi="Calibri" w:cs="Calibri"/>
          <w:i/>
          <w:sz w:val="20"/>
          <w:szCs w:val="20"/>
        </w:rPr>
        <w:t xml:space="preserve"> "</w:t>
      </w:r>
      <w:r w:rsidR="00682EBB">
        <w:rPr>
          <w:rFonts w:ascii="Calibri" w:eastAsia="Calibri" w:hAnsi="Calibri" w:cs="Calibri"/>
          <w:i/>
          <w:sz w:val="20"/>
          <w:szCs w:val="20"/>
        </w:rPr>
        <w:t>a</w:t>
      </w:r>
      <w:r w:rsidR="007B4995" w:rsidRPr="00FC2D31">
        <w:rPr>
          <w:rFonts w:ascii="Calibri" w:eastAsia="Calibri" w:hAnsi="Calibri" w:cs="Calibri"/>
          <w:i/>
          <w:sz w:val="20"/>
          <w:szCs w:val="20"/>
        </w:rPr>
        <w:t xml:space="preserve"> biosimilar product can replace the reference biological product without the intervention of the physician who prescribed the latter." </w:t>
      </w:r>
      <w:r w:rsidR="007B4995" w:rsidRPr="00FC2D31">
        <w:rPr>
          <w:rFonts w:ascii="Calibri" w:eastAsia="Calibri" w:hAnsi="Calibri" w:cs="Calibri"/>
          <w:sz w:val="20"/>
          <w:szCs w:val="20"/>
        </w:rPr>
        <w:t>(</w:t>
      </w:r>
      <w:r w:rsidR="007B4995" w:rsidRPr="00FC2D31">
        <w:rPr>
          <w:rFonts w:ascii="Calibri" w:eastAsia="Calibri" w:hAnsi="Calibri" w:cs="Calibri"/>
          <w:i/>
          <w:sz w:val="20"/>
          <w:szCs w:val="20"/>
        </w:rPr>
        <w:t>Biologics Price Competition and Innovation</w:t>
      </w:r>
      <w:r w:rsidR="007B4995" w:rsidRPr="00FC2D31">
        <w:rPr>
          <w:rFonts w:ascii="Calibri" w:eastAsia="Calibri" w:hAnsi="Calibri" w:cs="Calibri"/>
          <w:sz w:val="20"/>
          <w:szCs w:val="20"/>
        </w:rPr>
        <w:t xml:space="preserve"> Act, BPCI Act SEC. 7002 b). In this context, the definition of interchangeability of a biosimilar with respect to a reference, is in practice established by a FDA commission on the basis of </w:t>
      </w:r>
      <w:r w:rsidR="00682EBB">
        <w:rPr>
          <w:rFonts w:ascii="Calibri" w:eastAsia="Calibri" w:hAnsi="Calibri" w:cs="Calibri"/>
          <w:sz w:val="20"/>
          <w:szCs w:val="20"/>
        </w:rPr>
        <w:t xml:space="preserve">mandatory </w:t>
      </w:r>
      <w:r w:rsidR="007B4995" w:rsidRPr="00FC2D31">
        <w:rPr>
          <w:rFonts w:ascii="Calibri" w:eastAsia="Calibri" w:hAnsi="Calibri" w:cs="Calibri"/>
          <w:sz w:val="20"/>
          <w:szCs w:val="20"/>
        </w:rPr>
        <w:lastRenderedPageBreak/>
        <w:t xml:space="preserve">documentation </w:t>
      </w:r>
      <w:r w:rsidR="00682EBB">
        <w:rPr>
          <w:rFonts w:ascii="Calibri" w:eastAsia="Calibri" w:hAnsi="Calibri" w:cs="Calibri"/>
          <w:sz w:val="20"/>
          <w:szCs w:val="20"/>
        </w:rPr>
        <w:t>that</w:t>
      </w:r>
      <w:r w:rsidR="007B4995" w:rsidRPr="00FC2D31">
        <w:rPr>
          <w:rFonts w:ascii="Calibri" w:eastAsia="Calibri" w:hAnsi="Calibri" w:cs="Calibri"/>
          <w:sz w:val="20"/>
          <w:szCs w:val="20"/>
        </w:rPr>
        <w:t xml:space="preserve"> meets specific a priori criteria. Therefore, whenever a biosimilar product is defined as interchangeable the decision of a health operator</w:t>
      </w:r>
      <w:r w:rsidR="00682EBB">
        <w:rPr>
          <w:rFonts w:ascii="Calibri" w:eastAsia="Calibri" w:hAnsi="Calibri" w:cs="Calibri"/>
          <w:sz w:val="20"/>
          <w:szCs w:val="20"/>
        </w:rPr>
        <w:t>,</w:t>
      </w:r>
      <w:r w:rsidR="007B4995" w:rsidRPr="00FC2D31">
        <w:rPr>
          <w:rFonts w:ascii="Calibri" w:eastAsia="Calibri" w:hAnsi="Calibri" w:cs="Calibri"/>
          <w:sz w:val="20"/>
          <w:szCs w:val="20"/>
        </w:rPr>
        <w:t xml:space="preserve"> </w:t>
      </w:r>
      <w:r w:rsidR="00682EBB">
        <w:rPr>
          <w:rFonts w:ascii="Calibri" w:eastAsia="Calibri" w:hAnsi="Calibri" w:cs="Calibri"/>
          <w:sz w:val="20"/>
          <w:szCs w:val="20"/>
        </w:rPr>
        <w:t>in</w:t>
      </w:r>
      <w:r w:rsidR="00682EBB" w:rsidRPr="00FC2D31">
        <w:rPr>
          <w:rFonts w:ascii="Calibri" w:eastAsia="Calibri" w:hAnsi="Calibri" w:cs="Calibri"/>
          <w:sz w:val="20"/>
          <w:szCs w:val="20"/>
        </w:rPr>
        <w:t xml:space="preserve"> single cases</w:t>
      </w:r>
      <w:r w:rsidR="00682EBB">
        <w:rPr>
          <w:rFonts w:ascii="Calibri" w:eastAsia="Calibri" w:hAnsi="Calibri" w:cs="Calibri"/>
          <w:sz w:val="20"/>
          <w:szCs w:val="20"/>
        </w:rPr>
        <w:t>,</w:t>
      </w:r>
      <w:r w:rsidR="00682EBB" w:rsidRPr="00FC2D31">
        <w:rPr>
          <w:rFonts w:ascii="Calibri" w:eastAsia="Calibri" w:hAnsi="Calibri" w:cs="Calibri"/>
          <w:sz w:val="20"/>
          <w:szCs w:val="20"/>
        </w:rPr>
        <w:t xml:space="preserve"> </w:t>
      </w:r>
      <w:r w:rsidR="007B4995" w:rsidRPr="00FC2D31">
        <w:rPr>
          <w:rFonts w:ascii="Calibri" w:eastAsia="Calibri" w:hAnsi="Calibri" w:cs="Calibri"/>
          <w:sz w:val="20"/>
          <w:szCs w:val="20"/>
        </w:rPr>
        <w:t>is no longer necessary.</w:t>
      </w:r>
    </w:p>
    <w:p w:rsidR="007B4995" w:rsidRPr="00FC2D31" w:rsidRDefault="007B4995" w:rsidP="007763CF">
      <w:pPr>
        <w:spacing w:before="10" w:line="360" w:lineRule="auto"/>
        <w:rPr>
          <w:sz w:val="20"/>
          <w:szCs w:val="20"/>
        </w:rPr>
      </w:pPr>
    </w:p>
    <w:p w:rsidR="007B4995" w:rsidRPr="00FC2D31" w:rsidRDefault="007B4995" w:rsidP="007763CF">
      <w:pPr>
        <w:pStyle w:val="BodyText"/>
        <w:spacing w:line="360" w:lineRule="auto"/>
        <w:ind w:right="151"/>
        <w:jc w:val="both"/>
        <w:rPr>
          <w:sz w:val="20"/>
          <w:szCs w:val="20"/>
        </w:rPr>
      </w:pPr>
      <w:r w:rsidRPr="00FC2D31">
        <w:rPr>
          <w:b/>
          <w:sz w:val="20"/>
          <w:szCs w:val="20"/>
        </w:rPr>
        <w:t>Substitutability</w:t>
      </w:r>
      <w:r w:rsidRPr="00FC2D31">
        <w:rPr>
          <w:sz w:val="20"/>
          <w:szCs w:val="20"/>
        </w:rPr>
        <w:t xml:space="preserve">, instead, refers to the practice of replacing one medicinal product with another, usually more economic for </w:t>
      </w:r>
      <w:r w:rsidR="008C28A8">
        <w:rPr>
          <w:sz w:val="20"/>
          <w:szCs w:val="20"/>
        </w:rPr>
        <w:t>either the</w:t>
      </w:r>
      <w:r w:rsidRPr="00FC2D31">
        <w:rPr>
          <w:sz w:val="20"/>
          <w:szCs w:val="20"/>
        </w:rPr>
        <w:t xml:space="preserve"> NHS or the patient, whose active principles have the same qualitative and quantitative composition, the same pharmaceutical form and the same means </w:t>
      </w:r>
      <w:r w:rsidR="00D22B52">
        <w:rPr>
          <w:sz w:val="20"/>
          <w:szCs w:val="20"/>
        </w:rPr>
        <w:t xml:space="preserve">of </w:t>
      </w:r>
      <w:r w:rsidRPr="00FC2D31">
        <w:rPr>
          <w:sz w:val="20"/>
          <w:szCs w:val="20"/>
        </w:rPr>
        <w:t xml:space="preserve">administration and </w:t>
      </w:r>
      <w:r w:rsidR="008C28A8">
        <w:rPr>
          <w:sz w:val="20"/>
          <w:szCs w:val="20"/>
        </w:rPr>
        <w:t>one that</w:t>
      </w:r>
      <w:r w:rsidRPr="00FC2D31">
        <w:rPr>
          <w:sz w:val="20"/>
          <w:szCs w:val="20"/>
        </w:rPr>
        <w:t xml:space="preserve"> is also bioequivalent </w:t>
      </w:r>
      <w:r w:rsidR="008C28A8">
        <w:rPr>
          <w:sz w:val="20"/>
          <w:szCs w:val="20"/>
        </w:rPr>
        <w:t>to</w:t>
      </w:r>
      <w:r w:rsidRPr="00FC2D31">
        <w:rPr>
          <w:sz w:val="20"/>
          <w:szCs w:val="20"/>
        </w:rPr>
        <w:t xml:space="preserve"> the reference medicinal product on the basis of appropriate</w:t>
      </w:r>
      <w:r w:rsidR="00116BD0" w:rsidRPr="00FC2D31">
        <w:rPr>
          <w:sz w:val="20"/>
          <w:szCs w:val="20"/>
        </w:rPr>
        <w:t xml:space="preserve"> </w:t>
      </w:r>
      <w:r w:rsidRPr="00FC2D31">
        <w:rPr>
          <w:sz w:val="20"/>
          <w:szCs w:val="20"/>
        </w:rPr>
        <w:t>bioavailability studies.</w:t>
      </w:r>
    </w:p>
    <w:p w:rsidR="007B4995" w:rsidRPr="00FC2D31" w:rsidRDefault="007B4995" w:rsidP="007763CF">
      <w:pPr>
        <w:spacing w:before="9" w:line="360" w:lineRule="auto"/>
        <w:rPr>
          <w:sz w:val="20"/>
          <w:szCs w:val="20"/>
        </w:rPr>
      </w:pPr>
    </w:p>
    <w:p w:rsidR="007B4995" w:rsidRPr="00FC2D31" w:rsidRDefault="007B4995" w:rsidP="007763CF">
      <w:pPr>
        <w:pStyle w:val="BodyText"/>
        <w:spacing w:line="360" w:lineRule="auto"/>
        <w:ind w:right="153"/>
        <w:jc w:val="both"/>
        <w:rPr>
          <w:sz w:val="20"/>
          <w:szCs w:val="20"/>
        </w:rPr>
      </w:pPr>
      <w:r w:rsidRPr="00FC2D31">
        <w:rPr>
          <w:b/>
          <w:sz w:val="20"/>
          <w:szCs w:val="20"/>
        </w:rPr>
        <w:t>Automatic substitutability</w:t>
      </w:r>
      <w:r w:rsidRPr="00FC2D31">
        <w:rPr>
          <w:sz w:val="20"/>
          <w:szCs w:val="20"/>
        </w:rPr>
        <w:t xml:space="preserve"> (of equivalent medicinal products) by pharmacists refers to the practice whereby the pharmacist has the faculty, or the duty, in compliance with national or local laws, to dispense an equivalent and interchangeable medicinal product instead of the prescribed product without consulting the prescribing physician.</w:t>
      </w:r>
    </w:p>
    <w:p w:rsidR="007B4995" w:rsidRPr="00FC2D31" w:rsidRDefault="007B4995" w:rsidP="007763CF">
      <w:pPr>
        <w:spacing w:line="360" w:lineRule="auto"/>
        <w:rPr>
          <w:sz w:val="20"/>
          <w:szCs w:val="20"/>
        </w:rPr>
      </w:pPr>
    </w:p>
    <w:p w:rsidR="007B4995" w:rsidRPr="00FC2D31" w:rsidRDefault="007B4995" w:rsidP="008C28A8">
      <w:pPr>
        <w:pStyle w:val="BodyText"/>
        <w:spacing w:line="360" w:lineRule="auto"/>
        <w:ind w:left="113"/>
        <w:jc w:val="both"/>
        <w:rPr>
          <w:sz w:val="20"/>
          <w:szCs w:val="20"/>
        </w:rPr>
      </w:pPr>
      <w:r w:rsidRPr="00FC2D31">
        <w:rPr>
          <w:sz w:val="20"/>
          <w:szCs w:val="20"/>
        </w:rPr>
        <w:t>In conclusi</w:t>
      </w:r>
      <w:r w:rsidR="008C28A8">
        <w:rPr>
          <w:sz w:val="20"/>
          <w:szCs w:val="20"/>
        </w:rPr>
        <w:t>on, we should also distinguish between</w:t>
      </w:r>
      <w:r w:rsidRPr="00FC2D31">
        <w:rPr>
          <w:sz w:val="20"/>
          <w:szCs w:val="20"/>
        </w:rPr>
        <w:t xml:space="preserve"> two aspects of substitutability:</w:t>
      </w:r>
    </w:p>
    <w:p w:rsidR="007B4995" w:rsidRPr="00FC2D31" w:rsidRDefault="007B4995" w:rsidP="007763CF">
      <w:pPr>
        <w:spacing w:before="6" w:line="360" w:lineRule="auto"/>
        <w:rPr>
          <w:sz w:val="20"/>
          <w:szCs w:val="20"/>
        </w:rPr>
      </w:pPr>
    </w:p>
    <w:p w:rsidR="007B4995" w:rsidRPr="00FC2D31" w:rsidRDefault="007B4995" w:rsidP="007763CF">
      <w:pPr>
        <w:pStyle w:val="BodyText"/>
        <w:numPr>
          <w:ilvl w:val="0"/>
          <w:numId w:val="3"/>
        </w:numPr>
        <w:tabs>
          <w:tab w:val="left" w:pos="832"/>
        </w:tabs>
        <w:spacing w:line="360" w:lineRule="auto"/>
        <w:ind w:left="832" w:right="153"/>
        <w:jc w:val="both"/>
        <w:rPr>
          <w:sz w:val="20"/>
          <w:szCs w:val="20"/>
        </w:rPr>
      </w:pPr>
      <w:r w:rsidRPr="00FC2D31">
        <w:rPr>
          <w:b/>
          <w:sz w:val="20"/>
          <w:szCs w:val="20"/>
        </w:rPr>
        <w:t xml:space="preserve"> primary substitutability</w:t>
      </w:r>
      <w:r w:rsidRPr="00FC2D31">
        <w:rPr>
          <w:sz w:val="20"/>
          <w:szCs w:val="20"/>
        </w:rPr>
        <w:t>, which refers to the medical practice of initiating a new treatment with a biosimilar (</w:t>
      </w:r>
      <w:r w:rsidR="00D22B52">
        <w:rPr>
          <w:sz w:val="20"/>
          <w:szCs w:val="20"/>
        </w:rPr>
        <w:t>or</w:t>
      </w:r>
      <w:r w:rsidRPr="00FC2D31">
        <w:rPr>
          <w:sz w:val="20"/>
          <w:szCs w:val="20"/>
        </w:rPr>
        <w:t xml:space="preserve"> an equivalent) product rather than with the reference innovator product;</w:t>
      </w:r>
    </w:p>
    <w:p w:rsidR="007B4995" w:rsidRPr="00FC2D31" w:rsidRDefault="007B4995" w:rsidP="007763CF">
      <w:pPr>
        <w:pStyle w:val="BodyText"/>
        <w:numPr>
          <w:ilvl w:val="0"/>
          <w:numId w:val="3"/>
        </w:numPr>
        <w:tabs>
          <w:tab w:val="left" w:pos="832"/>
        </w:tabs>
        <w:spacing w:line="360" w:lineRule="auto"/>
        <w:ind w:left="832" w:right="152"/>
        <w:jc w:val="both"/>
        <w:rPr>
          <w:sz w:val="20"/>
          <w:szCs w:val="20"/>
        </w:rPr>
      </w:pPr>
      <w:r w:rsidRPr="00FC2D31">
        <w:rPr>
          <w:b/>
          <w:sz w:val="20"/>
          <w:szCs w:val="20"/>
        </w:rPr>
        <w:t xml:space="preserve"> secondary substitutability</w:t>
      </w:r>
      <w:r w:rsidRPr="00FC2D31">
        <w:rPr>
          <w:sz w:val="20"/>
          <w:szCs w:val="20"/>
        </w:rPr>
        <w:t>, which, instead, refers to the medical and/or pharmaceutical practice of modifying the therapy of a patient undergoing treatment by replacing a biological products with a biosimilar.</w:t>
      </w:r>
    </w:p>
    <w:p w:rsidR="007B4995" w:rsidRPr="00FC2D31" w:rsidRDefault="007B4995" w:rsidP="007763CF">
      <w:pPr>
        <w:pStyle w:val="BodyText"/>
        <w:spacing w:line="360" w:lineRule="auto"/>
        <w:ind w:right="153"/>
        <w:jc w:val="both"/>
        <w:rPr>
          <w:sz w:val="20"/>
          <w:szCs w:val="20"/>
        </w:rPr>
      </w:pPr>
      <w:r w:rsidRPr="00FC2D31">
        <w:rPr>
          <w:sz w:val="20"/>
          <w:szCs w:val="20"/>
        </w:rPr>
        <w:t>As regards the automatic substitutability of biosimilars, European legislation has given</w:t>
      </w:r>
      <w:r w:rsidR="002654AE">
        <w:rPr>
          <w:sz w:val="20"/>
          <w:szCs w:val="20"/>
        </w:rPr>
        <w:t xml:space="preserve"> </w:t>
      </w:r>
      <w:r w:rsidRPr="00FC2D31">
        <w:rPr>
          <w:sz w:val="20"/>
          <w:szCs w:val="20"/>
        </w:rPr>
        <w:t xml:space="preserve">legislative and decisional autonomy to the competent national authorities of the various member states. However, EMA has </w:t>
      </w:r>
      <w:r w:rsidR="00041082">
        <w:rPr>
          <w:sz w:val="20"/>
          <w:szCs w:val="20"/>
        </w:rPr>
        <w:t xml:space="preserve">also </w:t>
      </w:r>
      <w:r w:rsidRPr="00FC2D31">
        <w:rPr>
          <w:sz w:val="20"/>
          <w:szCs w:val="20"/>
        </w:rPr>
        <w:t xml:space="preserve">specified that its recommendations on the marketing of medicinal products do not </w:t>
      </w:r>
      <w:r w:rsidR="008C28A8">
        <w:rPr>
          <w:sz w:val="20"/>
          <w:szCs w:val="20"/>
        </w:rPr>
        <w:t>extend to stating</w:t>
      </w:r>
      <w:r w:rsidRPr="00FC2D31">
        <w:rPr>
          <w:sz w:val="20"/>
          <w:szCs w:val="20"/>
        </w:rPr>
        <w:t xml:space="preserve"> whether or not it is appropriate to use a biosimilar medicinal product </w:t>
      </w:r>
      <w:r w:rsidR="00041082">
        <w:rPr>
          <w:sz w:val="20"/>
          <w:szCs w:val="20"/>
        </w:rPr>
        <w:t>in an inter</w:t>
      </w:r>
      <w:r w:rsidRPr="00FC2D31">
        <w:rPr>
          <w:sz w:val="20"/>
          <w:szCs w:val="20"/>
        </w:rPr>
        <w:t>changeable manner</w:t>
      </w:r>
      <w:r w:rsidR="008C28A8">
        <w:rPr>
          <w:sz w:val="20"/>
          <w:szCs w:val="20"/>
        </w:rPr>
        <w:t>,</w:t>
      </w:r>
      <w:r w:rsidRPr="00FC2D31">
        <w:rPr>
          <w:sz w:val="20"/>
          <w:szCs w:val="20"/>
        </w:rPr>
        <w:t xml:space="preserve"> and that the decision concerning the prescriptive choice of the specific medicinal product to be used -i.e. a reference rather than a biosimilar product – </w:t>
      </w:r>
      <w:r w:rsidR="00041082">
        <w:rPr>
          <w:sz w:val="20"/>
          <w:szCs w:val="20"/>
        </w:rPr>
        <w:t>is an exclusive matter for</w:t>
      </w:r>
      <w:r w:rsidRPr="00FC2D31">
        <w:rPr>
          <w:sz w:val="20"/>
          <w:szCs w:val="20"/>
        </w:rPr>
        <w:t xml:space="preserve"> qualified health personnel (Ref. EMEA/74562/2006 Rev. 1; EMA/837805/2011).</w:t>
      </w:r>
    </w:p>
    <w:p w:rsidR="007B4995" w:rsidRPr="00FC2D31" w:rsidRDefault="007B4995" w:rsidP="007763CF">
      <w:pPr>
        <w:pStyle w:val="BodyText"/>
        <w:spacing w:line="360" w:lineRule="auto"/>
        <w:ind w:right="151"/>
        <w:jc w:val="both"/>
        <w:rPr>
          <w:sz w:val="20"/>
          <w:szCs w:val="20"/>
        </w:rPr>
      </w:pPr>
      <w:r w:rsidRPr="00FC2D31">
        <w:rPr>
          <w:sz w:val="20"/>
          <w:szCs w:val="20"/>
        </w:rPr>
        <w:t xml:space="preserve">In Italy, AIFA's position clarifies that biological and biosimilar medicinal products cannot be considered </w:t>
      </w:r>
      <w:r w:rsidRPr="00FC2D31">
        <w:rPr>
          <w:i/>
          <w:sz w:val="20"/>
          <w:szCs w:val="20"/>
        </w:rPr>
        <w:t>sic et simpliciter</w:t>
      </w:r>
      <w:r w:rsidRPr="00FC2D31">
        <w:rPr>
          <w:sz w:val="20"/>
          <w:szCs w:val="20"/>
        </w:rPr>
        <w:t xml:space="preserve"> on a par with equivalent products, thereby excluding mutual and automatic therapeutic substitutability. Precisely because reference biological and biosimilar medicinal products are similar but not identical medicinal products, </w:t>
      </w:r>
      <w:r w:rsidRPr="009D0095">
        <w:rPr>
          <w:sz w:val="20"/>
          <w:szCs w:val="20"/>
          <w:highlight w:val="yellow"/>
        </w:rPr>
        <w:t xml:space="preserve">AIFA has decided not to include biosimilars in the transparency lists that </w:t>
      </w:r>
      <w:r w:rsidR="00504029" w:rsidRPr="009D0095">
        <w:rPr>
          <w:sz w:val="20"/>
          <w:szCs w:val="20"/>
          <w:highlight w:val="yellow"/>
        </w:rPr>
        <w:t>authorize</w:t>
      </w:r>
      <w:r w:rsidRPr="009D0095">
        <w:rPr>
          <w:sz w:val="20"/>
          <w:szCs w:val="20"/>
          <w:highlight w:val="yellow"/>
        </w:rPr>
        <w:t xml:space="preserve"> automatic substitutability </w:t>
      </w:r>
      <w:r w:rsidR="00041082" w:rsidRPr="009D0095">
        <w:rPr>
          <w:sz w:val="20"/>
          <w:szCs w:val="20"/>
          <w:highlight w:val="yellow"/>
        </w:rPr>
        <w:t xml:space="preserve">as </w:t>
      </w:r>
      <w:r w:rsidRPr="009D0095">
        <w:rPr>
          <w:sz w:val="20"/>
          <w:szCs w:val="20"/>
          <w:highlight w:val="yellow"/>
        </w:rPr>
        <w:t>between equivalent products.</w:t>
      </w:r>
    </w:p>
    <w:p w:rsidR="007B4995" w:rsidRPr="00FC2D31" w:rsidRDefault="007B4995" w:rsidP="00041082">
      <w:pPr>
        <w:pStyle w:val="BodyText"/>
        <w:spacing w:line="360" w:lineRule="auto"/>
        <w:ind w:right="152"/>
        <w:jc w:val="both"/>
        <w:rPr>
          <w:sz w:val="20"/>
          <w:szCs w:val="20"/>
        </w:rPr>
      </w:pPr>
      <w:r w:rsidRPr="00FC2D31">
        <w:rPr>
          <w:sz w:val="20"/>
          <w:szCs w:val="20"/>
        </w:rPr>
        <w:t xml:space="preserve">Consequently, the decision to use a reference biological or a </w:t>
      </w:r>
      <w:r w:rsidR="00D22B52">
        <w:rPr>
          <w:sz w:val="20"/>
          <w:szCs w:val="20"/>
        </w:rPr>
        <w:t>bio</w:t>
      </w:r>
      <w:r w:rsidRPr="00FC2D31">
        <w:rPr>
          <w:sz w:val="20"/>
          <w:szCs w:val="20"/>
        </w:rPr>
        <w:t>similar medicinal product in therapeutic treatment</w:t>
      </w:r>
      <w:r w:rsidR="00041082">
        <w:rPr>
          <w:sz w:val="20"/>
          <w:szCs w:val="20"/>
        </w:rPr>
        <w:t xml:space="preserve"> </w:t>
      </w:r>
      <w:r w:rsidRPr="00FC2D31">
        <w:rPr>
          <w:sz w:val="20"/>
          <w:szCs w:val="20"/>
        </w:rPr>
        <w:t xml:space="preserve">remains a clinical decision limited to the prescribing medical specialist. However, AIFA considers that biosimilars </w:t>
      </w:r>
      <w:r w:rsidR="00F915A2">
        <w:rPr>
          <w:sz w:val="20"/>
          <w:szCs w:val="20"/>
        </w:rPr>
        <w:t>not only</w:t>
      </w:r>
      <w:r w:rsidRPr="00FC2D31">
        <w:rPr>
          <w:sz w:val="20"/>
          <w:szCs w:val="20"/>
        </w:rPr>
        <w:t xml:space="preserve"> constitute a therapeutic option available to both operators but also to be preferred whenever they represent an economic advantage, especially as regards the treatment of “</w:t>
      </w:r>
      <w:r w:rsidRPr="00FC2D31">
        <w:rPr>
          <w:i/>
          <w:sz w:val="20"/>
          <w:szCs w:val="20"/>
        </w:rPr>
        <w:t>naive</w:t>
      </w:r>
      <w:r w:rsidRPr="00FC2D31">
        <w:rPr>
          <w:sz w:val="20"/>
          <w:szCs w:val="20"/>
        </w:rPr>
        <w:t>” subjects (</w:t>
      </w:r>
      <w:r w:rsidR="00F915A2">
        <w:rPr>
          <w:sz w:val="20"/>
          <w:szCs w:val="20"/>
        </w:rPr>
        <w:t xml:space="preserve">i.e. </w:t>
      </w:r>
      <w:r w:rsidR="003413E0">
        <w:rPr>
          <w:sz w:val="20"/>
          <w:szCs w:val="20"/>
        </w:rPr>
        <w:t>those</w:t>
      </w:r>
      <w:r w:rsidR="00F915A2">
        <w:rPr>
          <w:sz w:val="20"/>
          <w:szCs w:val="20"/>
        </w:rPr>
        <w:t xml:space="preserve"> </w:t>
      </w:r>
      <w:r w:rsidRPr="00FC2D31">
        <w:rPr>
          <w:sz w:val="20"/>
          <w:szCs w:val="20"/>
        </w:rPr>
        <w:t xml:space="preserve">who have not undergone previous therapeutic treatment </w:t>
      </w:r>
      <w:r w:rsidR="009865C6">
        <w:rPr>
          <w:sz w:val="20"/>
          <w:szCs w:val="20"/>
        </w:rPr>
        <w:t>for whom</w:t>
      </w:r>
      <w:r w:rsidRPr="00FC2D31">
        <w:rPr>
          <w:sz w:val="20"/>
          <w:szCs w:val="20"/>
        </w:rPr>
        <w:t xml:space="preserve"> previous treatment, in the opinion of the physician, </w:t>
      </w:r>
      <w:r w:rsidR="009865C6">
        <w:rPr>
          <w:sz w:val="20"/>
          <w:szCs w:val="20"/>
        </w:rPr>
        <w:t>is</w:t>
      </w:r>
      <w:r w:rsidRPr="00FC2D31">
        <w:rPr>
          <w:sz w:val="20"/>
          <w:szCs w:val="20"/>
        </w:rPr>
        <w:t xml:space="preserve"> sufficiently remote</w:t>
      </w:r>
      <w:r w:rsidR="00116BD0" w:rsidRPr="00FC2D31">
        <w:rPr>
          <w:sz w:val="20"/>
          <w:szCs w:val="20"/>
        </w:rPr>
        <w:t xml:space="preserve"> </w:t>
      </w:r>
      <w:r w:rsidRPr="00FC2D31">
        <w:rPr>
          <w:sz w:val="20"/>
          <w:szCs w:val="20"/>
        </w:rPr>
        <w:t>in time).</w:t>
      </w:r>
    </w:p>
    <w:p w:rsidR="007B4995" w:rsidRPr="00FC2D31" w:rsidRDefault="007B4995" w:rsidP="007763CF">
      <w:pPr>
        <w:spacing w:before="9" w:line="360" w:lineRule="auto"/>
        <w:rPr>
          <w:sz w:val="20"/>
          <w:szCs w:val="20"/>
        </w:rPr>
      </w:pPr>
    </w:p>
    <w:p w:rsidR="007B4995" w:rsidRPr="00FC2D31" w:rsidRDefault="007B4995" w:rsidP="007763CF">
      <w:pPr>
        <w:pStyle w:val="BodyText"/>
        <w:spacing w:line="360" w:lineRule="auto"/>
        <w:ind w:right="152"/>
        <w:jc w:val="both"/>
        <w:rPr>
          <w:sz w:val="20"/>
          <w:szCs w:val="20"/>
        </w:rPr>
      </w:pPr>
      <w:r w:rsidRPr="00FC2D31">
        <w:rPr>
          <w:sz w:val="20"/>
          <w:szCs w:val="20"/>
        </w:rPr>
        <w:t xml:space="preserve">Furthermore, in consideration </w:t>
      </w:r>
      <w:r w:rsidR="00D22B52">
        <w:rPr>
          <w:sz w:val="20"/>
          <w:szCs w:val="20"/>
        </w:rPr>
        <w:t xml:space="preserve">of </w:t>
      </w:r>
      <w:r w:rsidRPr="00FC2D31">
        <w:rPr>
          <w:sz w:val="20"/>
          <w:szCs w:val="20"/>
        </w:rPr>
        <w:t xml:space="preserve">the fact that the evaluation process for the designation of biosimilarity is carried </w:t>
      </w:r>
      <w:r w:rsidRPr="00FC2D31">
        <w:rPr>
          <w:sz w:val="20"/>
          <w:szCs w:val="20"/>
        </w:rPr>
        <w:lastRenderedPageBreak/>
        <w:t xml:space="preserve">out by EMA </w:t>
      </w:r>
      <w:r w:rsidR="009865C6">
        <w:rPr>
          <w:sz w:val="20"/>
          <w:szCs w:val="20"/>
        </w:rPr>
        <w:t>at the</w:t>
      </w:r>
      <w:r w:rsidRPr="00FC2D31">
        <w:rPr>
          <w:sz w:val="20"/>
          <w:szCs w:val="20"/>
        </w:rPr>
        <w:t xml:space="preserve"> highest level of scientific knowledge </w:t>
      </w:r>
      <w:r w:rsidR="009865C6">
        <w:rPr>
          <w:sz w:val="20"/>
          <w:szCs w:val="20"/>
        </w:rPr>
        <w:t>and on</w:t>
      </w:r>
      <w:r w:rsidRPr="00FC2D31">
        <w:rPr>
          <w:sz w:val="20"/>
          <w:szCs w:val="20"/>
        </w:rPr>
        <w:t xml:space="preserve"> the basis of all </w:t>
      </w:r>
      <w:r w:rsidR="00D22B52" w:rsidRPr="00FC2D31">
        <w:rPr>
          <w:sz w:val="20"/>
          <w:szCs w:val="20"/>
        </w:rPr>
        <w:t xml:space="preserve">available </w:t>
      </w:r>
      <w:r w:rsidRPr="00FC2D31">
        <w:rPr>
          <w:sz w:val="20"/>
          <w:szCs w:val="20"/>
        </w:rPr>
        <w:t xml:space="preserve">evidence, no additional comparative evaluations are necessary at either a regional </w:t>
      </w:r>
      <w:r w:rsidR="00504029" w:rsidRPr="00FC2D31">
        <w:rPr>
          <w:sz w:val="20"/>
          <w:szCs w:val="20"/>
        </w:rPr>
        <w:t>or a local</w:t>
      </w:r>
      <w:r w:rsidRPr="00FC2D31">
        <w:rPr>
          <w:sz w:val="20"/>
          <w:szCs w:val="20"/>
        </w:rPr>
        <w:t xml:space="preserve"> level. </w:t>
      </w:r>
      <w:r w:rsidR="009865C6" w:rsidRPr="00FC2D31">
        <w:rPr>
          <w:sz w:val="20"/>
          <w:szCs w:val="20"/>
        </w:rPr>
        <w:t>However</w:t>
      </w:r>
      <w:r w:rsidR="009865C6">
        <w:rPr>
          <w:sz w:val="20"/>
          <w:szCs w:val="20"/>
        </w:rPr>
        <w:t>, it should, i</w:t>
      </w:r>
      <w:r w:rsidRPr="00FC2D31">
        <w:rPr>
          <w:sz w:val="20"/>
          <w:szCs w:val="20"/>
        </w:rPr>
        <w:t xml:space="preserve">n conclusion, be noted that AIFA reserves the right to evaluate the applicability of the general principles outlined in this Position Paper on a case-by-case basis, as also its right to amend its position as regards single products and or single therapeutic categories in relation to the </w:t>
      </w:r>
      <w:r w:rsidR="009865C6">
        <w:rPr>
          <w:sz w:val="20"/>
          <w:szCs w:val="20"/>
        </w:rPr>
        <w:t>period of time when</w:t>
      </w:r>
      <w:r w:rsidRPr="00FC2D31">
        <w:rPr>
          <w:sz w:val="20"/>
          <w:szCs w:val="20"/>
        </w:rPr>
        <w:t xml:space="preserve"> the products in question</w:t>
      </w:r>
      <w:r w:rsidR="009865C6">
        <w:rPr>
          <w:sz w:val="20"/>
          <w:szCs w:val="20"/>
        </w:rPr>
        <w:t xml:space="preserve"> have been on the market</w:t>
      </w:r>
      <w:r w:rsidRPr="00FC2D31">
        <w:rPr>
          <w:sz w:val="20"/>
          <w:szCs w:val="20"/>
        </w:rPr>
        <w:t xml:space="preserve">, the scientific evidence acquired, the number of patients treated in clinical practice, the PSUR presented to EMA, PAES and PASS studies and the information </w:t>
      </w:r>
      <w:r w:rsidR="009865C6">
        <w:rPr>
          <w:sz w:val="20"/>
          <w:szCs w:val="20"/>
        </w:rPr>
        <w:t>gleaned</w:t>
      </w:r>
      <w:r w:rsidRPr="00FC2D31">
        <w:rPr>
          <w:sz w:val="20"/>
          <w:szCs w:val="20"/>
        </w:rPr>
        <w:t xml:space="preserve"> from </w:t>
      </w:r>
      <w:r w:rsidR="009865C6">
        <w:rPr>
          <w:sz w:val="20"/>
          <w:szCs w:val="20"/>
        </w:rPr>
        <w:t>whatever</w:t>
      </w:r>
      <w:r w:rsidRPr="00FC2D31">
        <w:rPr>
          <w:sz w:val="20"/>
          <w:szCs w:val="20"/>
        </w:rPr>
        <w:t xml:space="preserve"> registers</w:t>
      </w:r>
      <w:r w:rsidR="009865C6">
        <w:rPr>
          <w:sz w:val="20"/>
          <w:szCs w:val="20"/>
        </w:rPr>
        <w:t xml:space="preserve"> may exist</w:t>
      </w:r>
      <w:r w:rsidRPr="00FC2D31">
        <w:rPr>
          <w:sz w:val="20"/>
          <w:szCs w:val="20"/>
        </w:rPr>
        <w:t>.</w:t>
      </w:r>
    </w:p>
    <w:p w:rsidR="007B4995" w:rsidRPr="00FC2D31" w:rsidRDefault="007B4995" w:rsidP="007763CF">
      <w:pPr>
        <w:spacing w:line="360" w:lineRule="auto"/>
        <w:rPr>
          <w:sz w:val="20"/>
          <w:szCs w:val="20"/>
        </w:rPr>
      </w:pPr>
    </w:p>
    <w:p w:rsidR="007B4995" w:rsidRPr="00FC2D31" w:rsidRDefault="007B4995" w:rsidP="007763CF">
      <w:pPr>
        <w:spacing w:line="360" w:lineRule="auto"/>
        <w:rPr>
          <w:sz w:val="20"/>
          <w:szCs w:val="20"/>
        </w:rPr>
      </w:pPr>
    </w:p>
    <w:p w:rsidR="007B4995" w:rsidRPr="00FC2D31" w:rsidRDefault="007B4995" w:rsidP="007763CF">
      <w:pPr>
        <w:pStyle w:val="Heading1"/>
        <w:spacing w:line="360" w:lineRule="auto"/>
        <w:ind w:left="170" w:right="7938"/>
        <w:jc w:val="both"/>
        <w:rPr>
          <w:b w:val="0"/>
          <w:sz w:val="20"/>
          <w:szCs w:val="20"/>
        </w:rPr>
      </w:pPr>
      <w:r w:rsidRPr="00FC2D31">
        <w:rPr>
          <w:sz w:val="20"/>
          <w:szCs w:val="20"/>
        </w:rPr>
        <w:t>Conclusions</w:t>
      </w:r>
    </w:p>
    <w:p w:rsidR="007B4995" w:rsidRPr="00FC2D31" w:rsidRDefault="007B4995" w:rsidP="007763CF">
      <w:pPr>
        <w:spacing w:before="9" w:line="360" w:lineRule="auto"/>
        <w:rPr>
          <w:sz w:val="20"/>
          <w:szCs w:val="20"/>
        </w:rPr>
      </w:pPr>
    </w:p>
    <w:p w:rsidR="007B4995" w:rsidRPr="00FC2D31" w:rsidRDefault="007B4995" w:rsidP="007763CF">
      <w:pPr>
        <w:spacing w:line="360" w:lineRule="auto"/>
        <w:rPr>
          <w:sz w:val="20"/>
          <w:szCs w:val="20"/>
        </w:rPr>
      </w:pPr>
    </w:p>
    <w:p w:rsidR="007B4995" w:rsidRPr="00FC2D31" w:rsidRDefault="00504029" w:rsidP="007763CF">
      <w:pPr>
        <w:pStyle w:val="BodyText"/>
        <w:spacing w:line="360" w:lineRule="auto"/>
        <w:ind w:right="152"/>
        <w:jc w:val="both"/>
        <w:rPr>
          <w:sz w:val="20"/>
          <w:szCs w:val="20"/>
        </w:rPr>
      </w:pPr>
      <w:r w:rsidRPr="00FC2D31">
        <w:rPr>
          <w:sz w:val="20"/>
          <w:szCs w:val="20"/>
        </w:rPr>
        <w:t xml:space="preserve">The development and use of biosimilar medicinal products represent an essential opportunity for optimizing the </w:t>
      </w:r>
      <w:r w:rsidR="00ED36E2">
        <w:rPr>
          <w:sz w:val="20"/>
          <w:szCs w:val="20"/>
        </w:rPr>
        <w:t>efficiency of health and healthcare systems inso</w:t>
      </w:r>
      <w:r w:rsidRPr="00FC2D31">
        <w:rPr>
          <w:sz w:val="20"/>
          <w:szCs w:val="20"/>
        </w:rPr>
        <w:t xml:space="preserve">far as they have the potentiality to satisfy a growing health demand in terms </w:t>
      </w:r>
      <w:r w:rsidR="00ED36E2">
        <w:rPr>
          <w:sz w:val="20"/>
          <w:szCs w:val="20"/>
        </w:rPr>
        <w:t>not</w:t>
      </w:r>
      <w:r w:rsidRPr="00FC2D31">
        <w:rPr>
          <w:sz w:val="20"/>
          <w:szCs w:val="20"/>
        </w:rPr>
        <w:t xml:space="preserve"> only of the effectiveness and personalization of therapies but also of their safe use. </w:t>
      </w:r>
      <w:r w:rsidR="007B4995" w:rsidRPr="00FC2D31">
        <w:rPr>
          <w:sz w:val="20"/>
          <w:szCs w:val="20"/>
        </w:rPr>
        <w:t>Consequently, biosimilars medicinal products represent an essential tool for the development of a</w:t>
      </w:r>
      <w:r w:rsidRPr="00FC2D31">
        <w:rPr>
          <w:sz w:val="20"/>
          <w:szCs w:val="20"/>
        </w:rPr>
        <w:t xml:space="preserve"> </w:t>
      </w:r>
      <w:r w:rsidR="007B4995" w:rsidRPr="00FC2D31">
        <w:rPr>
          <w:sz w:val="20"/>
          <w:szCs w:val="20"/>
        </w:rPr>
        <w:t>competitive market for biological medicinal products</w:t>
      </w:r>
      <w:r w:rsidR="00F33820">
        <w:rPr>
          <w:sz w:val="20"/>
          <w:szCs w:val="20"/>
        </w:rPr>
        <w:t>,</w:t>
      </w:r>
      <w:r w:rsidR="007B4995" w:rsidRPr="00FC2D31">
        <w:rPr>
          <w:sz w:val="20"/>
          <w:szCs w:val="20"/>
        </w:rPr>
        <w:t xml:space="preserve"> </w:t>
      </w:r>
      <w:r w:rsidR="00F33820">
        <w:rPr>
          <w:sz w:val="20"/>
          <w:szCs w:val="20"/>
        </w:rPr>
        <w:t>which, in their turn,</w:t>
      </w:r>
      <w:r w:rsidR="00F33820" w:rsidRPr="00FC2D31">
        <w:rPr>
          <w:sz w:val="20"/>
          <w:szCs w:val="20"/>
        </w:rPr>
        <w:t xml:space="preserve"> </w:t>
      </w:r>
      <w:r w:rsidR="007B4995" w:rsidRPr="00FC2D31">
        <w:rPr>
          <w:sz w:val="20"/>
          <w:szCs w:val="20"/>
        </w:rPr>
        <w:t>is necessary for the sustainability of the health system and innovative therapies</w:t>
      </w:r>
      <w:r w:rsidR="00F33820">
        <w:rPr>
          <w:sz w:val="20"/>
          <w:szCs w:val="20"/>
        </w:rPr>
        <w:t xml:space="preserve">, </w:t>
      </w:r>
      <w:r w:rsidR="007B4995" w:rsidRPr="00FC2D31">
        <w:rPr>
          <w:sz w:val="20"/>
          <w:szCs w:val="20"/>
        </w:rPr>
        <w:t xml:space="preserve">while also guaranteeing safety and quality for patients and ensuring a </w:t>
      </w:r>
      <w:r w:rsidRPr="00FC2D31">
        <w:rPr>
          <w:sz w:val="20"/>
          <w:szCs w:val="20"/>
        </w:rPr>
        <w:t>harmonized</w:t>
      </w:r>
      <w:r w:rsidR="007B4995" w:rsidRPr="00FC2D31">
        <w:rPr>
          <w:sz w:val="20"/>
          <w:szCs w:val="20"/>
        </w:rPr>
        <w:t xml:space="preserve"> and timely access to innovative medicinal products even in the </w:t>
      </w:r>
      <w:r w:rsidR="00F33820">
        <w:rPr>
          <w:sz w:val="20"/>
          <w:szCs w:val="20"/>
        </w:rPr>
        <w:t>face</w:t>
      </w:r>
      <w:r w:rsidR="007B4995" w:rsidRPr="00FC2D31">
        <w:rPr>
          <w:sz w:val="20"/>
          <w:szCs w:val="20"/>
        </w:rPr>
        <w:t xml:space="preserve"> of public spending cutbacks.</w:t>
      </w:r>
    </w:p>
    <w:p w:rsidR="007B4995" w:rsidRPr="00FC2D31" w:rsidRDefault="007B4995" w:rsidP="007763CF">
      <w:pPr>
        <w:pStyle w:val="BodyText"/>
        <w:spacing w:line="360" w:lineRule="auto"/>
        <w:ind w:right="153"/>
        <w:jc w:val="both"/>
        <w:rPr>
          <w:sz w:val="20"/>
          <w:szCs w:val="20"/>
        </w:rPr>
      </w:pPr>
      <w:r w:rsidRPr="00FC2D31">
        <w:rPr>
          <w:sz w:val="20"/>
          <w:szCs w:val="20"/>
        </w:rPr>
        <w:t>In conclusion, it should also be mentioned that immediately after the publication of this Position Paper, a revision of the guideline “</w:t>
      </w:r>
      <w:r w:rsidRPr="00FC2D31">
        <w:rPr>
          <w:i/>
          <w:sz w:val="20"/>
          <w:szCs w:val="20"/>
        </w:rPr>
        <w:t>Draft guideline on similar biological medicinal products (CHMP/437/04 Rev.1)</w:t>
      </w:r>
      <w:r w:rsidRPr="00FC2D31">
        <w:rPr>
          <w:sz w:val="20"/>
          <w:szCs w:val="20"/>
        </w:rPr>
        <w:t xml:space="preserve">” was published on EMA's website </w:t>
      </w:r>
      <w:r w:rsidR="00F33820">
        <w:rPr>
          <w:sz w:val="20"/>
          <w:szCs w:val="20"/>
        </w:rPr>
        <w:t>for</w:t>
      </w:r>
      <w:r w:rsidRPr="00FC2D31">
        <w:rPr>
          <w:sz w:val="20"/>
          <w:szCs w:val="20"/>
        </w:rPr>
        <w:t xml:space="preserve"> purposes of public consultation and </w:t>
      </w:r>
      <w:r w:rsidR="00F33820">
        <w:rPr>
          <w:sz w:val="20"/>
          <w:szCs w:val="20"/>
        </w:rPr>
        <w:t>to elicit</w:t>
      </w:r>
      <w:r w:rsidRPr="00FC2D31">
        <w:rPr>
          <w:sz w:val="20"/>
          <w:szCs w:val="20"/>
        </w:rPr>
        <w:t xml:space="preserve"> comments (“Comment invited on draft revised guidelin</w:t>
      </w:r>
      <w:r w:rsidR="00F33820">
        <w:rPr>
          <w:sz w:val="20"/>
          <w:szCs w:val="20"/>
        </w:rPr>
        <w:t>e on biosimilars” – 08.05.2013). We</w:t>
      </w:r>
      <w:r w:rsidRPr="00FC2D31">
        <w:rPr>
          <w:sz w:val="20"/>
          <w:szCs w:val="20"/>
        </w:rPr>
        <w:t xml:space="preserve"> advise you </w:t>
      </w:r>
      <w:r w:rsidR="00F33820">
        <w:rPr>
          <w:sz w:val="20"/>
          <w:szCs w:val="20"/>
        </w:rPr>
        <w:t xml:space="preserve">to </w:t>
      </w:r>
      <w:r w:rsidRPr="00FC2D31">
        <w:rPr>
          <w:sz w:val="20"/>
          <w:szCs w:val="20"/>
        </w:rPr>
        <w:t xml:space="preserve">consult </w:t>
      </w:r>
      <w:r w:rsidR="00F33820">
        <w:rPr>
          <w:sz w:val="20"/>
          <w:szCs w:val="20"/>
        </w:rPr>
        <w:t>this document in</w:t>
      </w:r>
      <w:r w:rsidRPr="00FC2D31">
        <w:rPr>
          <w:sz w:val="20"/>
          <w:szCs w:val="20"/>
        </w:rPr>
        <w:t xml:space="preserve"> order to supplement the contents of this Position Paper and to update the bibliography.</w:t>
      </w:r>
    </w:p>
    <w:p w:rsidR="007B4995" w:rsidRPr="00FC2D31" w:rsidRDefault="007B4995" w:rsidP="007763CF">
      <w:pPr>
        <w:spacing w:line="360" w:lineRule="auto"/>
        <w:rPr>
          <w:sz w:val="20"/>
          <w:szCs w:val="20"/>
        </w:rPr>
      </w:pPr>
    </w:p>
    <w:p w:rsidR="007B4995" w:rsidRPr="00FC2D31" w:rsidRDefault="007B4995" w:rsidP="007763CF">
      <w:pPr>
        <w:spacing w:before="19" w:line="360" w:lineRule="auto"/>
        <w:rPr>
          <w:sz w:val="20"/>
          <w:szCs w:val="20"/>
        </w:rPr>
      </w:pPr>
    </w:p>
    <w:p w:rsidR="007B4995" w:rsidRPr="00FC2D31" w:rsidRDefault="007B4995" w:rsidP="007763CF">
      <w:pPr>
        <w:pStyle w:val="Heading1"/>
        <w:spacing w:line="360" w:lineRule="auto"/>
        <w:ind w:left="113" w:right="7938"/>
        <w:jc w:val="both"/>
        <w:rPr>
          <w:b w:val="0"/>
          <w:sz w:val="20"/>
          <w:szCs w:val="20"/>
        </w:rPr>
      </w:pPr>
      <w:r w:rsidRPr="00FC2D31">
        <w:rPr>
          <w:sz w:val="20"/>
          <w:szCs w:val="20"/>
        </w:rPr>
        <w:t xml:space="preserve">Bibliography </w:t>
      </w:r>
    </w:p>
    <w:p w:rsidR="007B4995" w:rsidRPr="00FC2D31" w:rsidRDefault="007B4995" w:rsidP="007763CF">
      <w:pPr>
        <w:spacing w:before="4" w:line="360" w:lineRule="auto"/>
        <w:rPr>
          <w:sz w:val="20"/>
          <w:szCs w:val="20"/>
        </w:rPr>
      </w:pPr>
    </w:p>
    <w:p w:rsidR="007B4995" w:rsidRPr="00FC2D31" w:rsidRDefault="007B4995" w:rsidP="007763CF">
      <w:pPr>
        <w:spacing w:line="360" w:lineRule="auto"/>
        <w:rPr>
          <w:sz w:val="20"/>
          <w:szCs w:val="20"/>
        </w:rPr>
      </w:pPr>
    </w:p>
    <w:p w:rsidR="007B4995" w:rsidRPr="00FC2D31" w:rsidRDefault="007B4995" w:rsidP="004F4F9D">
      <w:pPr>
        <w:ind w:left="112" w:right="153"/>
        <w:jc w:val="both"/>
        <w:rPr>
          <w:rFonts w:ascii="Calibri" w:eastAsia="Calibri" w:hAnsi="Calibri" w:cs="Calibri"/>
          <w:sz w:val="20"/>
          <w:szCs w:val="20"/>
        </w:rPr>
      </w:pPr>
      <w:r w:rsidRPr="00FC2D31">
        <w:rPr>
          <w:rFonts w:ascii="Calibri" w:eastAsia="Calibri" w:hAnsi="Calibri" w:cs="Calibri"/>
          <w:sz w:val="20"/>
          <w:szCs w:val="20"/>
        </w:rPr>
        <w:t>EMA Procedural advice for users of the Centralised Procedure for Similar Biological Medicinal Products applications -Document September 2012 (EMA/940451/2011).</w:t>
      </w:r>
    </w:p>
    <w:p w:rsidR="007B4995" w:rsidRPr="00FC2D31" w:rsidRDefault="007B4995" w:rsidP="004F4F9D">
      <w:pPr>
        <w:rPr>
          <w:sz w:val="20"/>
          <w:szCs w:val="20"/>
        </w:rPr>
      </w:pPr>
    </w:p>
    <w:p w:rsidR="007B4995" w:rsidRPr="00FC2D31" w:rsidRDefault="007B4995" w:rsidP="004F4F9D">
      <w:pPr>
        <w:ind w:left="112" w:right="1458"/>
        <w:jc w:val="both"/>
        <w:rPr>
          <w:rFonts w:ascii="Calibri" w:eastAsia="Calibri" w:hAnsi="Calibri" w:cs="Calibri"/>
          <w:sz w:val="20"/>
          <w:szCs w:val="20"/>
        </w:rPr>
      </w:pPr>
      <w:r w:rsidRPr="00FC2D31">
        <w:rPr>
          <w:rFonts w:ascii="Calibri" w:eastAsia="Calibri" w:hAnsi="Calibri" w:cs="Calibri"/>
          <w:sz w:val="20"/>
          <w:szCs w:val="20"/>
        </w:rPr>
        <w:t>Domande e risposte sui medicinali biosimilari - Q&amp;A 27 September 2012 (EMA/837805/2011)</w:t>
      </w:r>
      <w:r w:rsidR="004F4F9D">
        <w:rPr>
          <w:rFonts w:ascii="Calibri" w:eastAsia="Calibri" w:hAnsi="Calibri" w:cs="Calibri"/>
          <w:sz w:val="20"/>
          <w:szCs w:val="20"/>
        </w:rPr>
        <w:t>EMA</w:t>
      </w:r>
      <w:r w:rsidR="003413E0">
        <w:rPr>
          <w:rFonts w:ascii="Calibri" w:eastAsia="Calibri" w:hAnsi="Calibri" w:cs="Calibri"/>
          <w:sz w:val="20"/>
          <w:szCs w:val="20"/>
        </w:rPr>
        <w:t xml:space="preserve"> </w:t>
      </w:r>
      <w:r w:rsidR="004F4F9D">
        <w:rPr>
          <w:rFonts w:ascii="Calibri" w:eastAsia="Calibri" w:hAnsi="Calibri" w:cs="Calibri"/>
          <w:sz w:val="20"/>
          <w:szCs w:val="20"/>
        </w:rPr>
        <w:t>Concept</w:t>
      </w:r>
      <w:r w:rsidR="003413E0">
        <w:rPr>
          <w:rFonts w:ascii="Calibri" w:eastAsia="Calibri" w:hAnsi="Calibri" w:cs="Calibri"/>
          <w:sz w:val="20"/>
          <w:szCs w:val="20"/>
        </w:rPr>
        <w:t xml:space="preserve"> </w:t>
      </w:r>
      <w:r w:rsidR="004F4F9D">
        <w:rPr>
          <w:rFonts w:ascii="Calibri" w:eastAsia="Calibri" w:hAnsi="Calibri" w:cs="Calibri"/>
          <w:sz w:val="20"/>
          <w:szCs w:val="20"/>
        </w:rPr>
        <w:t xml:space="preserve">Paper </w:t>
      </w:r>
      <w:r w:rsidRPr="00FC2D31">
        <w:rPr>
          <w:rFonts w:ascii="Calibri" w:eastAsia="Calibri" w:hAnsi="Calibri" w:cs="Calibri"/>
          <w:sz w:val="20"/>
          <w:szCs w:val="20"/>
        </w:rPr>
        <w:t>“Rev</w:t>
      </w:r>
      <w:r w:rsidR="004F4F9D">
        <w:rPr>
          <w:rFonts w:ascii="Calibri" w:eastAsia="Calibri" w:hAnsi="Calibri" w:cs="Calibri"/>
          <w:sz w:val="20"/>
          <w:szCs w:val="20"/>
        </w:rPr>
        <w:t xml:space="preserve">ision </w:t>
      </w:r>
      <w:r w:rsidRPr="00FC2D31">
        <w:rPr>
          <w:rFonts w:ascii="Calibri" w:eastAsia="Calibri" w:hAnsi="Calibri" w:cs="Calibri"/>
          <w:sz w:val="20"/>
          <w:szCs w:val="20"/>
        </w:rPr>
        <w:t>of</w:t>
      </w:r>
      <w:r w:rsidR="004F4F9D">
        <w:rPr>
          <w:rFonts w:ascii="Calibri" w:eastAsia="Calibri" w:hAnsi="Calibri" w:cs="Calibri"/>
          <w:sz w:val="20"/>
          <w:szCs w:val="20"/>
        </w:rPr>
        <w:t xml:space="preserve"> </w:t>
      </w:r>
      <w:r w:rsidRPr="00FC2D31">
        <w:rPr>
          <w:rFonts w:ascii="Calibri" w:eastAsia="Calibri" w:hAnsi="Calibri" w:cs="Calibri"/>
          <w:sz w:val="20"/>
          <w:szCs w:val="20"/>
        </w:rPr>
        <w:t>the</w:t>
      </w:r>
      <w:r w:rsidR="004F4F9D">
        <w:rPr>
          <w:rFonts w:ascii="Calibri" w:eastAsia="Calibri" w:hAnsi="Calibri" w:cs="Calibri"/>
          <w:sz w:val="20"/>
          <w:szCs w:val="20"/>
        </w:rPr>
        <w:t xml:space="preserve"> </w:t>
      </w:r>
      <w:r w:rsidRPr="00FC2D31">
        <w:rPr>
          <w:rFonts w:ascii="Calibri" w:eastAsia="Calibri" w:hAnsi="Calibri" w:cs="Calibri"/>
          <w:sz w:val="20"/>
          <w:szCs w:val="20"/>
        </w:rPr>
        <w:t>guideline</w:t>
      </w:r>
      <w:r w:rsidR="004F4F9D">
        <w:rPr>
          <w:rFonts w:ascii="Calibri" w:eastAsia="Calibri" w:hAnsi="Calibri" w:cs="Calibri"/>
          <w:sz w:val="20"/>
          <w:szCs w:val="20"/>
        </w:rPr>
        <w:t xml:space="preserve"> </w:t>
      </w:r>
      <w:r w:rsidRPr="00FC2D31">
        <w:rPr>
          <w:rFonts w:ascii="Calibri" w:eastAsia="Calibri" w:hAnsi="Calibri" w:cs="Calibri"/>
          <w:sz w:val="20"/>
          <w:szCs w:val="20"/>
        </w:rPr>
        <w:t>on</w:t>
      </w:r>
      <w:r w:rsidR="003413E0">
        <w:rPr>
          <w:rFonts w:ascii="Calibri" w:eastAsia="Calibri" w:hAnsi="Calibri" w:cs="Calibri"/>
          <w:sz w:val="20"/>
          <w:szCs w:val="20"/>
        </w:rPr>
        <w:t xml:space="preserve"> </w:t>
      </w:r>
      <w:r w:rsidRPr="00FC2D31">
        <w:rPr>
          <w:rFonts w:ascii="Calibri" w:eastAsia="Calibri" w:hAnsi="Calibri" w:cs="Calibri"/>
          <w:sz w:val="20"/>
          <w:szCs w:val="20"/>
        </w:rPr>
        <w:t>similar</w:t>
      </w:r>
      <w:r w:rsidR="004F4F9D">
        <w:rPr>
          <w:rFonts w:ascii="Calibri" w:eastAsia="Calibri" w:hAnsi="Calibri" w:cs="Calibri"/>
          <w:sz w:val="20"/>
          <w:szCs w:val="20"/>
        </w:rPr>
        <w:t xml:space="preserve"> biological </w:t>
      </w:r>
      <w:r w:rsidRPr="00FC2D31">
        <w:rPr>
          <w:rFonts w:ascii="Calibri" w:eastAsia="Calibri" w:hAnsi="Calibri" w:cs="Calibri"/>
          <w:sz w:val="20"/>
          <w:szCs w:val="20"/>
        </w:rPr>
        <w:t>medicinal</w:t>
      </w:r>
      <w:r w:rsidR="004F4F9D">
        <w:rPr>
          <w:rFonts w:ascii="Calibri" w:eastAsia="Calibri" w:hAnsi="Calibri" w:cs="Calibri"/>
          <w:sz w:val="20"/>
          <w:szCs w:val="20"/>
        </w:rPr>
        <w:t xml:space="preserve"> </w:t>
      </w:r>
      <w:r w:rsidRPr="00FC2D31">
        <w:rPr>
          <w:rFonts w:ascii="Calibri" w:eastAsia="Calibri" w:hAnsi="Calibri" w:cs="Calibri"/>
          <w:sz w:val="20"/>
          <w:szCs w:val="20"/>
        </w:rPr>
        <w:t>product“ (CHMP/BMWP/572643/2011)</w:t>
      </w:r>
    </w:p>
    <w:p w:rsidR="007B4995" w:rsidRPr="00FC2D31" w:rsidRDefault="007B4995" w:rsidP="004F4F9D">
      <w:pPr>
        <w:rPr>
          <w:sz w:val="20"/>
          <w:szCs w:val="20"/>
        </w:rPr>
      </w:pPr>
    </w:p>
    <w:p w:rsidR="007B4995" w:rsidRPr="00FC2D31" w:rsidRDefault="007B4995" w:rsidP="004F4F9D">
      <w:pPr>
        <w:ind w:left="112"/>
        <w:rPr>
          <w:rFonts w:ascii="Calibri" w:eastAsia="Calibri" w:hAnsi="Calibri" w:cs="Calibri"/>
          <w:sz w:val="20"/>
          <w:szCs w:val="20"/>
        </w:rPr>
      </w:pPr>
      <w:r w:rsidRPr="00FC2D31">
        <w:rPr>
          <w:rFonts w:ascii="Calibri" w:eastAsia="Calibri" w:hAnsi="Calibri" w:cs="Calibri"/>
          <w:sz w:val="20"/>
          <w:szCs w:val="20"/>
        </w:rPr>
        <w:t>EMA Guideline “Similar biological medicinal products” (CHMP/437/04)</w:t>
      </w:r>
    </w:p>
    <w:p w:rsidR="007B4995" w:rsidRPr="00FC2D31" w:rsidRDefault="007B4995" w:rsidP="004F4F9D">
      <w:pPr>
        <w:rPr>
          <w:sz w:val="20"/>
          <w:szCs w:val="20"/>
        </w:rPr>
      </w:pPr>
    </w:p>
    <w:p w:rsidR="007B4995" w:rsidRPr="00FC2D31" w:rsidRDefault="007B4995" w:rsidP="004F4F9D">
      <w:pPr>
        <w:ind w:left="112"/>
        <w:rPr>
          <w:rFonts w:ascii="Calibri" w:eastAsia="Calibri" w:hAnsi="Calibri" w:cs="Calibri"/>
          <w:sz w:val="20"/>
          <w:szCs w:val="20"/>
        </w:rPr>
      </w:pPr>
      <w:r w:rsidRPr="00FC2D31">
        <w:rPr>
          <w:rFonts w:ascii="Calibri" w:eastAsia="Calibri" w:hAnsi="Calibri" w:cs="Calibri"/>
          <w:sz w:val="20"/>
          <w:szCs w:val="20"/>
        </w:rPr>
        <w:t>EMA Guideline “Comparability of medicinal products containing biotechnology-derived proteins as active substance - Quality issues” (CPMP/ICH/5721/03)</w:t>
      </w:r>
    </w:p>
    <w:p w:rsidR="007B4995" w:rsidRPr="00FC2D31" w:rsidRDefault="007B4995" w:rsidP="004F4F9D">
      <w:pPr>
        <w:rPr>
          <w:sz w:val="20"/>
          <w:szCs w:val="20"/>
        </w:rPr>
      </w:pPr>
    </w:p>
    <w:p w:rsidR="007B4995" w:rsidRPr="00FC2D31" w:rsidRDefault="007B4995" w:rsidP="004F4F9D">
      <w:pPr>
        <w:ind w:left="112" w:right="153"/>
        <w:rPr>
          <w:rFonts w:ascii="Calibri" w:eastAsia="Calibri" w:hAnsi="Calibri" w:cs="Calibri"/>
          <w:sz w:val="20"/>
          <w:szCs w:val="20"/>
        </w:rPr>
      </w:pPr>
      <w:r w:rsidRPr="00FC2D31">
        <w:rPr>
          <w:rFonts w:ascii="Calibri" w:eastAsia="Calibri" w:hAnsi="Calibri" w:cs="Calibri"/>
          <w:sz w:val="20"/>
          <w:szCs w:val="20"/>
        </w:rPr>
        <w:t>ICH topic S6 – Note for guidance on preclinical safety evaluation of biotechnology-derived pharmaceuticals (CPMP/ICH/302/95)</w:t>
      </w:r>
    </w:p>
    <w:p w:rsidR="007B4995" w:rsidRPr="00FC2D31" w:rsidRDefault="007B4995" w:rsidP="004F4F9D">
      <w:pPr>
        <w:rPr>
          <w:sz w:val="20"/>
          <w:szCs w:val="20"/>
        </w:rPr>
      </w:pPr>
    </w:p>
    <w:p w:rsidR="007B4995" w:rsidRPr="00FC2D31" w:rsidRDefault="007B4995" w:rsidP="004F4F9D">
      <w:pPr>
        <w:ind w:left="112"/>
        <w:rPr>
          <w:rFonts w:ascii="Calibri" w:eastAsia="Calibri" w:hAnsi="Calibri" w:cs="Calibri"/>
          <w:sz w:val="20"/>
          <w:szCs w:val="20"/>
        </w:rPr>
      </w:pPr>
      <w:r w:rsidRPr="00FC2D31">
        <w:rPr>
          <w:rFonts w:ascii="Calibri" w:eastAsia="Calibri" w:hAnsi="Calibri" w:cs="Calibri"/>
          <w:sz w:val="20"/>
          <w:szCs w:val="20"/>
        </w:rPr>
        <w:t>EMA Guideline “Similar biological medicinal products containing biotechnology-derived proteins as active substance: non-clinical and clinical issues” (EMEA/CHMP/BMWP/42832/2005)</w:t>
      </w:r>
    </w:p>
    <w:p w:rsidR="007B4995" w:rsidRPr="00FC2D31" w:rsidRDefault="007B4995" w:rsidP="004F4F9D">
      <w:pPr>
        <w:spacing w:before="8"/>
        <w:rPr>
          <w:sz w:val="20"/>
          <w:szCs w:val="20"/>
        </w:rPr>
      </w:pPr>
    </w:p>
    <w:p w:rsidR="007B4995" w:rsidRPr="00FC2D31" w:rsidRDefault="007B4995" w:rsidP="004F4F9D">
      <w:pPr>
        <w:ind w:left="112"/>
        <w:rPr>
          <w:rFonts w:ascii="Calibri" w:eastAsia="Calibri" w:hAnsi="Calibri" w:cs="Calibri"/>
          <w:sz w:val="20"/>
          <w:szCs w:val="20"/>
        </w:rPr>
      </w:pPr>
      <w:r w:rsidRPr="00FC2D31">
        <w:rPr>
          <w:rFonts w:ascii="Calibri" w:eastAsia="Calibri" w:hAnsi="Calibri" w:cs="Calibri"/>
          <w:sz w:val="20"/>
          <w:szCs w:val="20"/>
        </w:rPr>
        <w:t>EMA Guideline “Similar biological medicinal products containing biotechnology-derived proteins as active substance: quality issues” (EMEA/CHMP/BWP/49348/2005)</w:t>
      </w:r>
    </w:p>
    <w:p w:rsidR="007B4995" w:rsidRPr="00FC2D31" w:rsidRDefault="007B4995" w:rsidP="004F4F9D">
      <w:pPr>
        <w:rPr>
          <w:sz w:val="20"/>
          <w:szCs w:val="20"/>
        </w:rPr>
      </w:pPr>
    </w:p>
    <w:p w:rsidR="007B4995" w:rsidRPr="00FC2D31" w:rsidRDefault="007B4995" w:rsidP="004F4F9D">
      <w:pPr>
        <w:tabs>
          <w:tab w:val="left" w:pos="806"/>
          <w:tab w:val="left" w:pos="1857"/>
          <w:tab w:val="left" w:pos="2322"/>
          <w:tab w:val="left" w:pos="3150"/>
          <w:tab w:val="left" w:pos="4232"/>
          <w:tab w:val="left" w:pos="5330"/>
          <w:tab w:val="left" w:pos="6357"/>
          <w:tab w:val="left" w:pos="7526"/>
          <w:tab w:val="left" w:pos="8814"/>
        </w:tabs>
        <w:ind w:left="112" w:right="153"/>
        <w:rPr>
          <w:rFonts w:ascii="Calibri" w:eastAsia="Calibri" w:hAnsi="Calibri" w:cs="Calibri"/>
          <w:sz w:val="20"/>
          <w:szCs w:val="20"/>
        </w:rPr>
      </w:pPr>
      <w:r w:rsidRPr="00FC2D31">
        <w:rPr>
          <w:rFonts w:ascii="Calibri" w:eastAsia="Calibri" w:hAnsi="Calibri" w:cs="Calibri"/>
          <w:sz w:val="20"/>
          <w:szCs w:val="20"/>
        </w:rPr>
        <w:t>Draft</w:t>
      </w:r>
      <w:r w:rsidR="003413E0">
        <w:rPr>
          <w:rFonts w:ascii="Calibri" w:eastAsia="Calibri" w:hAnsi="Calibri" w:cs="Calibri"/>
          <w:sz w:val="20"/>
          <w:szCs w:val="20"/>
        </w:rPr>
        <w:t xml:space="preserve"> </w:t>
      </w:r>
      <w:r w:rsidRPr="00FC2D31">
        <w:rPr>
          <w:rFonts w:ascii="Calibri" w:eastAsia="Calibri" w:hAnsi="Calibri" w:cs="Calibri"/>
          <w:sz w:val="20"/>
          <w:szCs w:val="20"/>
        </w:rPr>
        <w:t>guideline</w:t>
      </w:r>
      <w:r w:rsidR="003413E0">
        <w:rPr>
          <w:rFonts w:ascii="Calibri" w:eastAsia="Calibri" w:hAnsi="Calibri" w:cs="Calibri"/>
          <w:sz w:val="20"/>
          <w:szCs w:val="20"/>
        </w:rPr>
        <w:t xml:space="preserve"> </w:t>
      </w:r>
      <w:r w:rsidRPr="00FC2D31">
        <w:rPr>
          <w:rFonts w:ascii="Calibri" w:eastAsia="Calibri" w:hAnsi="Calibri" w:cs="Calibri"/>
          <w:sz w:val="20"/>
          <w:szCs w:val="20"/>
        </w:rPr>
        <w:t>on</w:t>
      </w:r>
      <w:r w:rsidR="003413E0">
        <w:rPr>
          <w:rFonts w:ascii="Calibri" w:eastAsia="Calibri" w:hAnsi="Calibri" w:cs="Calibri"/>
          <w:sz w:val="20"/>
          <w:szCs w:val="20"/>
        </w:rPr>
        <w:t xml:space="preserve"> </w:t>
      </w:r>
      <w:r w:rsidRPr="00FC2D31">
        <w:rPr>
          <w:rFonts w:ascii="Calibri" w:eastAsia="Calibri" w:hAnsi="Calibri" w:cs="Calibri"/>
          <w:sz w:val="20"/>
          <w:szCs w:val="20"/>
        </w:rPr>
        <w:t>similar</w:t>
      </w:r>
      <w:r w:rsidR="003413E0">
        <w:rPr>
          <w:rFonts w:ascii="Calibri" w:eastAsia="Calibri" w:hAnsi="Calibri" w:cs="Calibri"/>
          <w:sz w:val="20"/>
          <w:szCs w:val="20"/>
        </w:rPr>
        <w:t xml:space="preserve"> </w:t>
      </w:r>
      <w:r w:rsidRPr="00FC2D31">
        <w:rPr>
          <w:rFonts w:ascii="Calibri" w:eastAsia="Calibri" w:hAnsi="Calibri" w:cs="Calibri"/>
          <w:sz w:val="20"/>
          <w:szCs w:val="20"/>
        </w:rPr>
        <w:t>biological</w:t>
      </w:r>
      <w:r w:rsidR="003413E0">
        <w:rPr>
          <w:rFonts w:ascii="Calibri" w:eastAsia="Calibri" w:hAnsi="Calibri" w:cs="Calibri"/>
          <w:sz w:val="20"/>
          <w:szCs w:val="20"/>
        </w:rPr>
        <w:t xml:space="preserve"> </w:t>
      </w:r>
      <w:r w:rsidRPr="00FC2D31">
        <w:rPr>
          <w:rFonts w:ascii="Calibri" w:eastAsia="Calibri" w:hAnsi="Calibri" w:cs="Calibri"/>
          <w:sz w:val="20"/>
          <w:szCs w:val="20"/>
        </w:rPr>
        <w:t>medicinal</w:t>
      </w:r>
      <w:r w:rsidR="003413E0">
        <w:rPr>
          <w:rFonts w:ascii="Calibri" w:eastAsia="Calibri" w:hAnsi="Calibri" w:cs="Calibri"/>
          <w:sz w:val="20"/>
          <w:szCs w:val="20"/>
        </w:rPr>
        <w:t xml:space="preserve"> </w:t>
      </w:r>
      <w:r w:rsidRPr="00FC2D31">
        <w:rPr>
          <w:rFonts w:ascii="Calibri" w:eastAsia="Calibri" w:hAnsi="Calibri" w:cs="Calibri"/>
          <w:sz w:val="20"/>
          <w:szCs w:val="20"/>
        </w:rPr>
        <w:t>products</w:t>
      </w:r>
      <w:r w:rsidR="003413E0">
        <w:rPr>
          <w:rFonts w:ascii="Calibri" w:eastAsia="Calibri" w:hAnsi="Calibri" w:cs="Calibri"/>
          <w:sz w:val="20"/>
          <w:szCs w:val="20"/>
        </w:rPr>
        <w:t xml:space="preserve"> </w:t>
      </w:r>
      <w:r w:rsidRPr="00FC2D31">
        <w:rPr>
          <w:rFonts w:ascii="Calibri" w:eastAsia="Calibri" w:hAnsi="Calibri" w:cs="Calibri"/>
          <w:sz w:val="20"/>
          <w:szCs w:val="20"/>
        </w:rPr>
        <w:t>containing</w:t>
      </w:r>
      <w:r w:rsidR="003413E0">
        <w:rPr>
          <w:rFonts w:ascii="Calibri" w:eastAsia="Calibri" w:hAnsi="Calibri" w:cs="Calibri"/>
          <w:sz w:val="20"/>
          <w:szCs w:val="20"/>
        </w:rPr>
        <w:t xml:space="preserve"> </w:t>
      </w:r>
      <w:r w:rsidRPr="00FC2D31">
        <w:rPr>
          <w:rFonts w:ascii="Calibri" w:eastAsia="Calibri" w:hAnsi="Calibri" w:cs="Calibri"/>
          <w:sz w:val="20"/>
          <w:szCs w:val="20"/>
        </w:rPr>
        <w:t>monoclonal</w:t>
      </w:r>
      <w:r w:rsidR="003413E0">
        <w:rPr>
          <w:rFonts w:ascii="Calibri" w:eastAsia="Calibri" w:hAnsi="Calibri" w:cs="Calibri"/>
          <w:sz w:val="20"/>
          <w:szCs w:val="20"/>
        </w:rPr>
        <w:t xml:space="preserve"> </w:t>
      </w:r>
      <w:r w:rsidRPr="00FC2D31">
        <w:rPr>
          <w:rFonts w:ascii="Calibri" w:eastAsia="Calibri" w:hAnsi="Calibri" w:cs="Calibri"/>
          <w:sz w:val="20"/>
          <w:szCs w:val="20"/>
        </w:rPr>
        <w:t>antibodies (EMA/CHMP/BMWP/403543/2010)</w:t>
      </w:r>
    </w:p>
    <w:p w:rsidR="007B4995" w:rsidRPr="00FC2D31" w:rsidRDefault="007B4995" w:rsidP="004F4F9D">
      <w:pPr>
        <w:rPr>
          <w:sz w:val="20"/>
          <w:szCs w:val="20"/>
        </w:rPr>
      </w:pPr>
    </w:p>
    <w:p w:rsidR="007B4995" w:rsidRPr="00FC2D31" w:rsidRDefault="007B4995" w:rsidP="004F4F9D">
      <w:pPr>
        <w:ind w:left="112" w:right="153"/>
        <w:rPr>
          <w:rFonts w:ascii="Calibri" w:eastAsia="Calibri" w:hAnsi="Calibri" w:cs="Calibri"/>
          <w:sz w:val="20"/>
          <w:szCs w:val="20"/>
        </w:rPr>
      </w:pPr>
      <w:r w:rsidRPr="00FC2D31">
        <w:rPr>
          <w:rFonts w:ascii="Calibri" w:eastAsia="Calibri" w:hAnsi="Calibri" w:cs="Calibri"/>
          <w:sz w:val="20"/>
          <w:szCs w:val="20"/>
        </w:rPr>
        <w:t>EMA  Guideline  on  immunogenicity  assessment  of  monoclonal  antibodies  intended  for  in  vivo  use (EMA/CHMP/BMWP/86289/2010 Rev.2)</w:t>
      </w:r>
    </w:p>
    <w:p w:rsidR="007B4995" w:rsidRPr="00FC2D31" w:rsidRDefault="007B4995" w:rsidP="004F4F9D">
      <w:pPr>
        <w:rPr>
          <w:sz w:val="20"/>
          <w:szCs w:val="20"/>
        </w:rPr>
      </w:pPr>
    </w:p>
    <w:p w:rsidR="007B4995" w:rsidRPr="00FC2D31" w:rsidRDefault="007B4995" w:rsidP="004F4F9D">
      <w:pPr>
        <w:ind w:left="112" w:right="156"/>
        <w:rPr>
          <w:rFonts w:ascii="Calibri" w:eastAsia="Calibri" w:hAnsi="Calibri" w:cs="Calibri"/>
          <w:sz w:val="20"/>
          <w:szCs w:val="20"/>
        </w:rPr>
      </w:pPr>
      <w:r w:rsidRPr="00FC2D31">
        <w:rPr>
          <w:rFonts w:ascii="Calibri" w:eastAsia="Calibri" w:hAnsi="Calibri" w:cs="Calibri"/>
          <w:sz w:val="20"/>
          <w:szCs w:val="20"/>
        </w:rPr>
        <w:t>EMA   Guideline   “Similar   biological   medicinal   products   containing   recombinant   erythropoietins” (EMEA/CHMP/BMWP/301636/08)</w:t>
      </w:r>
    </w:p>
    <w:p w:rsidR="007B4995" w:rsidRPr="00FC2D31" w:rsidRDefault="007B4995" w:rsidP="004F4F9D">
      <w:pPr>
        <w:rPr>
          <w:sz w:val="20"/>
          <w:szCs w:val="20"/>
        </w:rPr>
      </w:pPr>
    </w:p>
    <w:p w:rsidR="007B4995" w:rsidRPr="00FC2D31" w:rsidRDefault="007B4995" w:rsidP="004F4F9D">
      <w:pPr>
        <w:ind w:left="112" w:right="154"/>
        <w:rPr>
          <w:rFonts w:ascii="Calibri" w:eastAsia="Calibri" w:hAnsi="Calibri" w:cs="Calibri"/>
          <w:sz w:val="20"/>
          <w:szCs w:val="20"/>
        </w:rPr>
      </w:pPr>
      <w:r w:rsidRPr="00FC2D31">
        <w:rPr>
          <w:rFonts w:ascii="Calibri" w:eastAsia="Calibri" w:hAnsi="Calibri" w:cs="Calibri"/>
          <w:sz w:val="20"/>
          <w:szCs w:val="20"/>
        </w:rPr>
        <w:t>EMA Guideline “Non-clinical and clinical development of similar medicinal products containing recombinant interferon alpha” (EMEA/CHMP/BMWP/102046/2006)</w:t>
      </w:r>
    </w:p>
    <w:p w:rsidR="007B4995" w:rsidRPr="00FC2D31" w:rsidRDefault="007B4995" w:rsidP="004F4F9D">
      <w:pPr>
        <w:spacing w:before="8"/>
        <w:rPr>
          <w:sz w:val="20"/>
          <w:szCs w:val="20"/>
        </w:rPr>
      </w:pPr>
    </w:p>
    <w:p w:rsidR="007B4995" w:rsidRPr="00FC2D31" w:rsidRDefault="007B4995" w:rsidP="004F4F9D">
      <w:pPr>
        <w:ind w:left="112"/>
        <w:rPr>
          <w:rFonts w:ascii="Calibri" w:eastAsia="Calibri" w:hAnsi="Calibri" w:cs="Calibri"/>
          <w:sz w:val="20"/>
          <w:szCs w:val="20"/>
        </w:rPr>
      </w:pPr>
      <w:r w:rsidRPr="00FC2D31">
        <w:rPr>
          <w:rFonts w:ascii="Calibri" w:eastAsia="Calibri" w:hAnsi="Calibri" w:cs="Calibri"/>
          <w:sz w:val="20"/>
          <w:szCs w:val="20"/>
        </w:rPr>
        <w:t>Guideline on evaluation of similar biotherapeutic products (SBPs), WHO 2009</w:t>
      </w:r>
    </w:p>
    <w:p w:rsidR="007B4995" w:rsidRPr="00FC2D31" w:rsidRDefault="007B4995" w:rsidP="004F4F9D">
      <w:pPr>
        <w:rPr>
          <w:sz w:val="20"/>
          <w:szCs w:val="20"/>
        </w:rPr>
      </w:pPr>
    </w:p>
    <w:p w:rsidR="007B4995" w:rsidRPr="00FC2D31" w:rsidRDefault="007B4995" w:rsidP="004F4F9D">
      <w:pPr>
        <w:ind w:left="112" w:right="153"/>
        <w:rPr>
          <w:rFonts w:ascii="Calibri" w:eastAsia="Calibri" w:hAnsi="Calibri" w:cs="Calibri"/>
          <w:sz w:val="20"/>
          <w:szCs w:val="20"/>
        </w:rPr>
      </w:pPr>
      <w:r w:rsidRPr="00FC2D31">
        <w:rPr>
          <w:rFonts w:ascii="Calibri" w:eastAsia="Calibri" w:hAnsi="Calibri" w:cs="Calibri"/>
          <w:sz w:val="20"/>
          <w:szCs w:val="20"/>
        </w:rPr>
        <w:t>Multisource  (Generic)  Pharmaceutical  Products:  Guidelines  On  Registration  Requirements  To  Establish Interchangeability World Health Organization WHO Technical Report Series, No. 937, 2006</w:t>
      </w:r>
    </w:p>
    <w:p w:rsidR="007B4995" w:rsidRPr="00FC2D31" w:rsidRDefault="007B4995" w:rsidP="004F4F9D">
      <w:pPr>
        <w:rPr>
          <w:sz w:val="20"/>
          <w:szCs w:val="20"/>
        </w:rPr>
      </w:pPr>
    </w:p>
    <w:p w:rsidR="007B4995" w:rsidRPr="00FC2D31" w:rsidRDefault="007B4995" w:rsidP="004F4F9D">
      <w:pPr>
        <w:ind w:left="112"/>
        <w:rPr>
          <w:rFonts w:ascii="Calibri" w:eastAsia="Calibri" w:hAnsi="Calibri" w:cs="Calibri"/>
          <w:sz w:val="20"/>
          <w:szCs w:val="20"/>
        </w:rPr>
      </w:pPr>
      <w:r w:rsidRPr="00FC2D31">
        <w:rPr>
          <w:rFonts w:ascii="Calibri" w:eastAsia="Calibri" w:hAnsi="Calibri" w:cs="Calibri"/>
          <w:i/>
          <w:sz w:val="20"/>
          <w:szCs w:val="20"/>
        </w:rPr>
        <w:t>Biologics Price Competition and Innovation</w:t>
      </w:r>
      <w:r w:rsidRPr="00FC2D31">
        <w:rPr>
          <w:rFonts w:ascii="Calibri" w:eastAsia="Calibri" w:hAnsi="Calibri" w:cs="Calibri"/>
          <w:sz w:val="20"/>
          <w:szCs w:val="20"/>
        </w:rPr>
        <w:t xml:space="preserve"> Act, BPCI Act SEC. 7002 b</w:t>
      </w:r>
    </w:p>
    <w:p w:rsidR="007B4995" w:rsidRPr="00FC2D31" w:rsidRDefault="007B4995" w:rsidP="004F4F9D">
      <w:pPr>
        <w:rPr>
          <w:sz w:val="20"/>
          <w:szCs w:val="20"/>
        </w:rPr>
      </w:pPr>
    </w:p>
    <w:p w:rsidR="007B4995" w:rsidRPr="00FC2D31" w:rsidRDefault="007B4995" w:rsidP="004F4F9D">
      <w:pPr>
        <w:ind w:left="112"/>
        <w:rPr>
          <w:rFonts w:ascii="Calibri" w:eastAsia="Calibri" w:hAnsi="Calibri" w:cs="Calibri"/>
          <w:sz w:val="20"/>
          <w:szCs w:val="20"/>
        </w:rPr>
      </w:pPr>
      <w:r w:rsidRPr="00FC2D31">
        <w:rPr>
          <w:rFonts w:ascii="Calibri" w:eastAsia="Calibri" w:hAnsi="Calibri" w:cs="Calibri"/>
          <w:sz w:val="20"/>
          <w:szCs w:val="20"/>
        </w:rPr>
        <w:t>Carson KL. Flexibility—The guiding principle for antibody manufacturing. Nat Biotech 2005; 23:1054-8.</w:t>
      </w:r>
    </w:p>
    <w:sectPr w:rsidR="007B4995" w:rsidRPr="00FC2D31" w:rsidSect="00E64FEE">
      <w:footerReference w:type="even" r:id="rId10"/>
      <w:footerReference w:type="default" r:id="rId11"/>
      <w:pgSz w:w="11907" w:h="16840"/>
      <w:pgMar w:top="1418" w:right="1134" w:bottom="1247" w:left="1077" w:header="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85E" w:rsidRPr="003801B3" w:rsidRDefault="002F185E" w:rsidP="00D655CE">
      <w:pPr>
        <w:rPr>
          <w:lang w:val="en-GB"/>
        </w:rPr>
      </w:pPr>
      <w:r w:rsidRPr="003801B3">
        <w:rPr>
          <w:lang w:val="en-GB"/>
        </w:rPr>
        <w:separator/>
      </w:r>
    </w:p>
  </w:endnote>
  <w:endnote w:type="continuationSeparator" w:id="0">
    <w:p w:rsidR="002F185E" w:rsidRPr="003801B3" w:rsidRDefault="002F185E" w:rsidP="00D655CE">
      <w:pPr>
        <w:rPr>
          <w:lang w:val="en-GB"/>
        </w:rPr>
      </w:pPr>
      <w:r w:rsidRPr="003801B3">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EFD" w:rsidRPr="003801B3" w:rsidRDefault="00D06AB4">
    <w:pPr>
      <w:spacing w:line="200" w:lineRule="exact"/>
      <w:rPr>
        <w:sz w:val="20"/>
        <w:szCs w:val="20"/>
        <w:lang w:val="en-GB"/>
      </w:rPr>
    </w:pPr>
    <w:r>
      <w:rPr>
        <w:noProof/>
      </w:rPr>
      <mc:AlternateContent>
        <mc:Choice Requires="wps">
          <w:drawing>
            <wp:anchor distT="0" distB="0" distL="114300" distR="114300" simplePos="0" relativeHeight="251663872" behindDoc="1" locked="0" layoutInCell="1" allowOverlap="1">
              <wp:simplePos x="0" y="0"/>
              <wp:positionH relativeFrom="page">
                <wp:posOffset>6713855</wp:posOffset>
              </wp:positionH>
              <wp:positionV relativeFrom="page">
                <wp:posOffset>9869805</wp:posOffset>
              </wp:positionV>
              <wp:extent cx="179070" cy="151765"/>
              <wp:effectExtent l="0" t="0" r="1143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F9D" w:rsidRPr="003801B3" w:rsidRDefault="00775AD0">
                          <w:pPr>
                            <w:spacing w:line="223" w:lineRule="exact"/>
                            <w:ind w:left="40"/>
                            <w:rPr>
                              <w:rFonts w:ascii="Calibri" w:eastAsia="Calibri" w:hAnsi="Calibri" w:cs="Calibri"/>
                              <w:sz w:val="20"/>
                              <w:szCs w:val="20"/>
                              <w:lang w:val="en-GB"/>
                            </w:rPr>
                          </w:pPr>
                          <w:r w:rsidRPr="003801B3">
                            <w:rPr>
                              <w:lang w:val="en-GB"/>
                            </w:rPr>
                            <w:fldChar w:fldCharType="begin"/>
                          </w:r>
                          <w:r w:rsidR="004F4F9D" w:rsidRPr="003801B3">
                            <w:rPr>
                              <w:rFonts w:ascii="Calibri" w:eastAsia="Calibri" w:hAnsi="Calibri" w:cs="Calibri"/>
                              <w:sz w:val="20"/>
                              <w:szCs w:val="20"/>
                              <w:lang w:val="en-GB"/>
                            </w:rPr>
                            <w:instrText xml:space="preserve"> PAGE </w:instrText>
                          </w:r>
                          <w:r w:rsidRPr="003801B3">
                            <w:rPr>
                              <w:lang w:val="en-GB"/>
                            </w:rPr>
                            <w:fldChar w:fldCharType="separate"/>
                          </w:r>
                          <w:r w:rsidR="00992741">
                            <w:rPr>
                              <w:rFonts w:ascii="Calibri" w:eastAsia="Calibri" w:hAnsi="Calibri" w:cs="Calibri"/>
                              <w:noProof/>
                              <w:sz w:val="20"/>
                              <w:szCs w:val="20"/>
                              <w:lang w:val="en-GB"/>
                            </w:rPr>
                            <w:t>12</w:t>
                          </w:r>
                          <w:r w:rsidRPr="003801B3">
                            <w:rPr>
                              <w:lang w:val="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8.65pt;margin-top:777.15pt;width:14.1pt;height:11.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" filled="f" stroked="f">
              <v:textbox inset="0,0,0,0">
                <w:txbxContent>
                  <w:p w:rsidR="004F4F9D" w:rsidRPr="003801B3" w:rsidRDefault="00775AD0">
                    <w:pPr>
                      <w:spacing w:line="223" w:lineRule="exact"/>
                      <w:ind w:left="40"/>
                      <w:rPr>
                        <w:rFonts w:ascii="Calibri" w:eastAsia="Calibri" w:hAnsi="Calibri" w:cs="Calibri"/>
                        <w:sz w:val="20"/>
                        <w:szCs w:val="20"/>
                        <w:lang w:val="en-GB"/>
                      </w:rPr>
                    </w:pPr>
                    <w:r w:rsidRPr="003801B3">
                      <w:rPr>
                        <w:lang w:val="en-GB"/>
                      </w:rPr>
                      <w:fldChar w:fldCharType="begin"/>
                    </w:r>
                    <w:r w:rsidR="004F4F9D" w:rsidRPr="003801B3">
                      <w:rPr>
                        <w:rFonts w:ascii="Calibri" w:eastAsia="Calibri" w:hAnsi="Calibri" w:cs="Calibri"/>
                        <w:sz w:val="20"/>
                        <w:szCs w:val="20"/>
                        <w:lang w:val="en-GB"/>
                      </w:rPr>
                      <w:instrText xml:space="preserve"> PAGE </w:instrText>
                    </w:r>
                    <w:r w:rsidRPr="003801B3">
                      <w:rPr>
                        <w:lang w:val="en-GB"/>
                      </w:rPr>
                      <w:fldChar w:fldCharType="separate"/>
                    </w:r>
                    <w:r w:rsidR="00992741">
                      <w:rPr>
                        <w:rFonts w:ascii="Calibri" w:eastAsia="Calibri" w:hAnsi="Calibri" w:cs="Calibri"/>
                        <w:noProof/>
                        <w:sz w:val="20"/>
                        <w:szCs w:val="20"/>
                        <w:lang w:val="en-GB"/>
                      </w:rPr>
                      <w:t>12</w:t>
                    </w:r>
                    <w:r w:rsidRPr="003801B3">
                      <w:rPr>
                        <w:lang w:val="en-GB"/>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4896" behindDoc="1" locked="0" layoutInCell="1" allowOverlap="1">
              <wp:simplePos x="0" y="0"/>
              <wp:positionH relativeFrom="page">
                <wp:posOffset>706755</wp:posOffset>
              </wp:positionH>
              <wp:positionV relativeFrom="page">
                <wp:posOffset>10048875</wp:posOffset>
              </wp:positionV>
              <wp:extent cx="4246880" cy="177800"/>
              <wp:effectExtent l="0" t="0" r="1270" b="1270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68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F9D" w:rsidRPr="003801B3" w:rsidRDefault="004F4F9D">
                          <w:pPr>
                            <w:spacing w:line="264" w:lineRule="exact"/>
                            <w:ind w:left="20"/>
                            <w:rPr>
                              <w:rFonts w:ascii="Calibri" w:eastAsia="Calibri" w:hAnsi="Calibri" w:cs="Calibri"/>
                              <w:sz w:val="24"/>
                              <w:szCs w:val="24"/>
                              <w:lang w:val="en-GB"/>
                            </w:rPr>
                          </w:pPr>
                          <w:r w:rsidRPr="003801B3">
                            <w:rPr>
                              <w:rFonts w:ascii="Calibri" w:eastAsia="Calibri" w:hAnsi="Calibri" w:cs="Calibri"/>
                              <w:sz w:val="24"/>
                              <w:szCs w:val="24"/>
                              <w:lang w:val="en-GB"/>
                            </w:rPr>
                            <w:t>A</w:t>
                          </w:r>
                          <w:r w:rsidRPr="003801B3">
                            <w:rPr>
                              <w:rFonts w:ascii="Calibri" w:eastAsia="Calibri" w:hAnsi="Calibri" w:cs="Calibri"/>
                              <w:spacing w:val="-1"/>
                              <w:sz w:val="24"/>
                              <w:szCs w:val="24"/>
                              <w:lang w:val="en-GB"/>
                            </w:rPr>
                            <w:t>g</w:t>
                          </w:r>
                          <w:r w:rsidRPr="003801B3">
                            <w:rPr>
                              <w:rFonts w:ascii="Calibri" w:eastAsia="Calibri" w:hAnsi="Calibri" w:cs="Calibri"/>
                              <w:sz w:val="24"/>
                              <w:szCs w:val="24"/>
                              <w:lang w:val="en-GB"/>
                            </w:rPr>
                            <w:t>e</w:t>
                          </w:r>
                          <w:r w:rsidRPr="003801B3">
                            <w:rPr>
                              <w:rFonts w:ascii="Calibri" w:eastAsia="Calibri" w:hAnsi="Calibri" w:cs="Calibri"/>
                              <w:spacing w:val="1"/>
                              <w:sz w:val="24"/>
                              <w:szCs w:val="24"/>
                              <w:lang w:val="en-GB"/>
                            </w:rPr>
                            <w:t>nz</w:t>
                          </w:r>
                          <w:r w:rsidRPr="003801B3">
                            <w:rPr>
                              <w:rFonts w:ascii="Calibri" w:eastAsia="Calibri" w:hAnsi="Calibri" w:cs="Calibri"/>
                              <w:sz w:val="24"/>
                              <w:szCs w:val="24"/>
                              <w:lang w:val="en-GB"/>
                            </w:rPr>
                            <w:t>ia</w:t>
                          </w:r>
                          <w:r w:rsidRPr="003801B3">
                            <w:rPr>
                              <w:rFonts w:ascii="Calibri" w:eastAsia="Calibri" w:hAnsi="Calibri" w:cs="Calibri"/>
                              <w:spacing w:val="-6"/>
                              <w:sz w:val="24"/>
                              <w:szCs w:val="24"/>
                              <w:lang w:val="en-GB"/>
                            </w:rPr>
                            <w:t xml:space="preserve"> </w:t>
                          </w:r>
                          <w:r w:rsidRPr="003801B3">
                            <w:rPr>
                              <w:rFonts w:ascii="Calibri" w:eastAsia="Calibri" w:hAnsi="Calibri" w:cs="Calibri"/>
                              <w:spacing w:val="-1"/>
                              <w:sz w:val="24"/>
                              <w:szCs w:val="24"/>
                              <w:lang w:val="en-GB"/>
                            </w:rPr>
                            <w:t>I</w:t>
                          </w:r>
                          <w:r w:rsidRPr="003801B3">
                            <w:rPr>
                              <w:rFonts w:ascii="Calibri" w:eastAsia="Calibri" w:hAnsi="Calibri" w:cs="Calibri"/>
                              <w:spacing w:val="1"/>
                              <w:sz w:val="24"/>
                              <w:szCs w:val="24"/>
                              <w:lang w:val="en-GB"/>
                            </w:rPr>
                            <w:t>t</w:t>
                          </w:r>
                          <w:r w:rsidRPr="003801B3">
                            <w:rPr>
                              <w:rFonts w:ascii="Calibri" w:eastAsia="Calibri" w:hAnsi="Calibri" w:cs="Calibri"/>
                              <w:sz w:val="24"/>
                              <w:szCs w:val="24"/>
                              <w:lang w:val="en-GB"/>
                            </w:rPr>
                            <w:t>ali</w:t>
                          </w:r>
                          <w:r w:rsidRPr="003801B3">
                            <w:rPr>
                              <w:rFonts w:ascii="Calibri" w:eastAsia="Calibri" w:hAnsi="Calibri" w:cs="Calibri"/>
                              <w:spacing w:val="-3"/>
                              <w:sz w:val="24"/>
                              <w:szCs w:val="24"/>
                              <w:lang w:val="en-GB"/>
                            </w:rPr>
                            <w:t>a</w:t>
                          </w:r>
                          <w:r w:rsidRPr="003801B3">
                            <w:rPr>
                              <w:rFonts w:ascii="Calibri" w:eastAsia="Calibri" w:hAnsi="Calibri" w:cs="Calibri"/>
                              <w:spacing w:val="1"/>
                              <w:sz w:val="24"/>
                              <w:szCs w:val="24"/>
                              <w:lang w:val="en-GB"/>
                            </w:rPr>
                            <w:t>n</w:t>
                          </w:r>
                          <w:r w:rsidRPr="003801B3">
                            <w:rPr>
                              <w:rFonts w:ascii="Calibri" w:eastAsia="Calibri" w:hAnsi="Calibri" w:cs="Calibri"/>
                              <w:sz w:val="24"/>
                              <w:szCs w:val="24"/>
                              <w:lang w:val="en-GB"/>
                            </w:rPr>
                            <w:t>a</w:t>
                          </w:r>
                          <w:r w:rsidRPr="003801B3">
                            <w:rPr>
                              <w:rFonts w:ascii="Calibri" w:eastAsia="Calibri" w:hAnsi="Calibri" w:cs="Calibri"/>
                              <w:spacing w:val="-5"/>
                              <w:sz w:val="24"/>
                              <w:szCs w:val="24"/>
                              <w:lang w:val="en-GB"/>
                            </w:rPr>
                            <w:t xml:space="preserve"> </w:t>
                          </w:r>
                          <w:r w:rsidRPr="003801B3">
                            <w:rPr>
                              <w:rFonts w:ascii="Calibri" w:eastAsia="Calibri" w:hAnsi="Calibri" w:cs="Calibri"/>
                              <w:spacing w:val="1"/>
                              <w:sz w:val="24"/>
                              <w:szCs w:val="24"/>
                              <w:lang w:val="en-GB"/>
                            </w:rPr>
                            <w:t>d</w:t>
                          </w:r>
                          <w:r w:rsidRPr="003801B3">
                            <w:rPr>
                              <w:rFonts w:ascii="Calibri" w:eastAsia="Calibri" w:hAnsi="Calibri" w:cs="Calibri"/>
                              <w:sz w:val="24"/>
                              <w:szCs w:val="24"/>
                              <w:lang w:val="en-GB"/>
                            </w:rPr>
                            <w:t>el</w:t>
                          </w:r>
                          <w:r w:rsidRPr="003801B3">
                            <w:rPr>
                              <w:rFonts w:ascii="Calibri" w:eastAsia="Calibri" w:hAnsi="Calibri" w:cs="Calibri"/>
                              <w:spacing w:val="-5"/>
                              <w:sz w:val="24"/>
                              <w:szCs w:val="24"/>
                              <w:lang w:val="en-GB"/>
                            </w:rPr>
                            <w:t xml:space="preserve"> </w:t>
                          </w:r>
                          <w:r w:rsidRPr="003801B3">
                            <w:rPr>
                              <w:rFonts w:ascii="Calibri" w:eastAsia="Calibri" w:hAnsi="Calibri" w:cs="Calibri"/>
                              <w:sz w:val="24"/>
                              <w:szCs w:val="24"/>
                              <w:lang w:val="en-GB"/>
                            </w:rPr>
                            <w:t>Far</w:t>
                          </w:r>
                          <w:r w:rsidRPr="003801B3">
                            <w:rPr>
                              <w:rFonts w:ascii="Calibri" w:eastAsia="Calibri" w:hAnsi="Calibri" w:cs="Calibri"/>
                              <w:spacing w:val="-3"/>
                              <w:sz w:val="24"/>
                              <w:szCs w:val="24"/>
                              <w:lang w:val="en-GB"/>
                            </w:rPr>
                            <w:t>m</w:t>
                          </w:r>
                          <w:r w:rsidRPr="003801B3">
                            <w:rPr>
                              <w:rFonts w:ascii="Calibri" w:eastAsia="Calibri" w:hAnsi="Calibri" w:cs="Calibri"/>
                              <w:sz w:val="24"/>
                              <w:szCs w:val="24"/>
                              <w:lang w:val="en-GB"/>
                            </w:rPr>
                            <w:t>a</w:t>
                          </w:r>
                          <w:r w:rsidRPr="003801B3">
                            <w:rPr>
                              <w:rFonts w:ascii="Calibri" w:eastAsia="Calibri" w:hAnsi="Calibri" w:cs="Calibri"/>
                              <w:spacing w:val="-1"/>
                              <w:sz w:val="24"/>
                              <w:szCs w:val="24"/>
                              <w:lang w:val="en-GB"/>
                            </w:rPr>
                            <w:t>c</w:t>
                          </w:r>
                          <w:r w:rsidRPr="003801B3">
                            <w:rPr>
                              <w:rFonts w:ascii="Calibri" w:eastAsia="Calibri" w:hAnsi="Calibri" w:cs="Calibri"/>
                              <w:sz w:val="24"/>
                              <w:szCs w:val="24"/>
                              <w:lang w:val="en-GB"/>
                            </w:rPr>
                            <w:t>o</w:t>
                          </w:r>
                          <w:r w:rsidRPr="003801B3">
                            <w:rPr>
                              <w:rFonts w:ascii="Calibri" w:eastAsia="Calibri" w:hAnsi="Calibri" w:cs="Calibri"/>
                              <w:spacing w:val="-3"/>
                              <w:sz w:val="24"/>
                              <w:szCs w:val="24"/>
                              <w:lang w:val="en-GB"/>
                            </w:rPr>
                            <w:t xml:space="preserve"> </w:t>
                          </w:r>
                          <w:r w:rsidRPr="003801B3">
                            <w:rPr>
                              <w:rFonts w:ascii="Calibri" w:eastAsia="Calibri" w:hAnsi="Calibri" w:cs="Calibri"/>
                              <w:sz w:val="24"/>
                              <w:szCs w:val="24"/>
                              <w:lang w:val="en-GB"/>
                            </w:rPr>
                            <w:t>–</w:t>
                          </w:r>
                          <w:r w:rsidRPr="003801B3">
                            <w:rPr>
                              <w:rFonts w:ascii="Calibri" w:eastAsia="Calibri" w:hAnsi="Calibri" w:cs="Calibri"/>
                              <w:spacing w:val="-2"/>
                              <w:sz w:val="24"/>
                              <w:szCs w:val="24"/>
                              <w:lang w:val="en-GB"/>
                            </w:rPr>
                            <w:t xml:space="preserve"> </w:t>
                          </w:r>
                          <w:r w:rsidRPr="003801B3">
                            <w:rPr>
                              <w:rFonts w:ascii="Calibri" w:eastAsia="Calibri" w:hAnsi="Calibri" w:cs="Calibri"/>
                              <w:i/>
                              <w:sz w:val="24"/>
                              <w:szCs w:val="24"/>
                              <w:lang w:val="en-GB"/>
                            </w:rPr>
                            <w:t>P</w:t>
                          </w:r>
                          <w:r w:rsidRPr="003801B3">
                            <w:rPr>
                              <w:rFonts w:ascii="Calibri" w:eastAsia="Calibri" w:hAnsi="Calibri" w:cs="Calibri"/>
                              <w:i/>
                              <w:spacing w:val="-1"/>
                              <w:sz w:val="24"/>
                              <w:szCs w:val="24"/>
                              <w:lang w:val="en-GB"/>
                            </w:rPr>
                            <w:t>o</w:t>
                          </w:r>
                          <w:r w:rsidRPr="003801B3">
                            <w:rPr>
                              <w:rFonts w:ascii="Calibri" w:eastAsia="Calibri" w:hAnsi="Calibri" w:cs="Calibri"/>
                              <w:i/>
                              <w:sz w:val="24"/>
                              <w:szCs w:val="24"/>
                              <w:lang w:val="en-GB"/>
                            </w:rPr>
                            <w:t>s</w:t>
                          </w:r>
                          <w:r w:rsidRPr="003801B3">
                            <w:rPr>
                              <w:rFonts w:ascii="Calibri" w:eastAsia="Calibri" w:hAnsi="Calibri" w:cs="Calibri"/>
                              <w:i/>
                              <w:spacing w:val="-3"/>
                              <w:sz w:val="24"/>
                              <w:szCs w:val="24"/>
                              <w:lang w:val="en-GB"/>
                            </w:rPr>
                            <w:t>i</w:t>
                          </w:r>
                          <w:r w:rsidRPr="003801B3">
                            <w:rPr>
                              <w:rFonts w:ascii="Calibri" w:eastAsia="Calibri" w:hAnsi="Calibri" w:cs="Calibri"/>
                              <w:i/>
                              <w:spacing w:val="1"/>
                              <w:sz w:val="24"/>
                              <w:szCs w:val="24"/>
                              <w:lang w:val="en-GB"/>
                            </w:rPr>
                            <w:t>t</w:t>
                          </w:r>
                          <w:r w:rsidRPr="003801B3">
                            <w:rPr>
                              <w:rFonts w:ascii="Calibri" w:eastAsia="Calibri" w:hAnsi="Calibri" w:cs="Calibri"/>
                              <w:i/>
                              <w:sz w:val="24"/>
                              <w:szCs w:val="24"/>
                              <w:lang w:val="en-GB"/>
                            </w:rPr>
                            <w:t>i</w:t>
                          </w:r>
                          <w:r w:rsidRPr="003801B3">
                            <w:rPr>
                              <w:rFonts w:ascii="Calibri" w:eastAsia="Calibri" w:hAnsi="Calibri" w:cs="Calibri"/>
                              <w:i/>
                              <w:spacing w:val="-1"/>
                              <w:sz w:val="24"/>
                              <w:szCs w:val="24"/>
                              <w:lang w:val="en-GB"/>
                            </w:rPr>
                            <w:t>o</w:t>
                          </w:r>
                          <w:r w:rsidRPr="003801B3">
                            <w:rPr>
                              <w:rFonts w:ascii="Calibri" w:eastAsia="Calibri" w:hAnsi="Calibri" w:cs="Calibri"/>
                              <w:i/>
                              <w:sz w:val="24"/>
                              <w:szCs w:val="24"/>
                              <w:lang w:val="en-GB"/>
                            </w:rPr>
                            <w:t>n</w:t>
                          </w:r>
                          <w:r w:rsidRPr="003801B3">
                            <w:rPr>
                              <w:rFonts w:ascii="Calibri" w:eastAsia="Calibri" w:hAnsi="Calibri" w:cs="Calibri"/>
                              <w:i/>
                              <w:spacing w:val="-4"/>
                              <w:sz w:val="24"/>
                              <w:szCs w:val="24"/>
                              <w:lang w:val="en-GB"/>
                            </w:rPr>
                            <w:t xml:space="preserve"> </w:t>
                          </w:r>
                          <w:r w:rsidRPr="003801B3">
                            <w:rPr>
                              <w:rFonts w:ascii="Calibri" w:eastAsia="Calibri" w:hAnsi="Calibri" w:cs="Calibri"/>
                              <w:i/>
                              <w:sz w:val="24"/>
                              <w:szCs w:val="24"/>
                              <w:lang w:val="en-GB"/>
                            </w:rPr>
                            <w:t>P</w:t>
                          </w:r>
                          <w:r w:rsidRPr="003801B3">
                            <w:rPr>
                              <w:rFonts w:ascii="Calibri" w:eastAsia="Calibri" w:hAnsi="Calibri" w:cs="Calibri"/>
                              <w:i/>
                              <w:spacing w:val="-1"/>
                              <w:sz w:val="24"/>
                              <w:szCs w:val="24"/>
                              <w:lang w:val="en-GB"/>
                            </w:rPr>
                            <w:t>ap</w:t>
                          </w:r>
                          <w:r w:rsidRPr="003801B3">
                            <w:rPr>
                              <w:rFonts w:ascii="Calibri" w:eastAsia="Calibri" w:hAnsi="Calibri" w:cs="Calibri"/>
                              <w:i/>
                              <w:sz w:val="24"/>
                              <w:szCs w:val="24"/>
                              <w:lang w:val="en-GB"/>
                            </w:rPr>
                            <w:t>er</w:t>
                          </w:r>
                          <w:r w:rsidRPr="003801B3">
                            <w:rPr>
                              <w:rFonts w:ascii="Calibri" w:eastAsia="Calibri" w:hAnsi="Calibri" w:cs="Calibri"/>
                              <w:i/>
                              <w:spacing w:val="-4"/>
                              <w:sz w:val="24"/>
                              <w:szCs w:val="24"/>
                              <w:lang w:val="en-GB"/>
                            </w:rPr>
                            <w:t xml:space="preserve"> </w:t>
                          </w:r>
                          <w:r w:rsidRPr="003801B3">
                            <w:rPr>
                              <w:rFonts w:ascii="Calibri" w:eastAsia="Calibri" w:hAnsi="Calibri" w:cs="Calibri"/>
                              <w:spacing w:val="-1"/>
                              <w:sz w:val="24"/>
                              <w:szCs w:val="24"/>
                              <w:lang w:val="en-GB"/>
                            </w:rPr>
                            <w:t>s</w:t>
                          </w:r>
                          <w:r w:rsidRPr="003801B3">
                            <w:rPr>
                              <w:rFonts w:ascii="Calibri" w:eastAsia="Calibri" w:hAnsi="Calibri" w:cs="Calibri"/>
                              <w:spacing w:val="1"/>
                              <w:sz w:val="24"/>
                              <w:szCs w:val="24"/>
                              <w:lang w:val="en-GB"/>
                            </w:rPr>
                            <w:t>u</w:t>
                          </w:r>
                          <w:r w:rsidRPr="003801B3">
                            <w:rPr>
                              <w:rFonts w:ascii="Calibri" w:eastAsia="Calibri" w:hAnsi="Calibri" w:cs="Calibri"/>
                              <w:sz w:val="24"/>
                              <w:szCs w:val="24"/>
                              <w:lang w:val="en-GB"/>
                            </w:rPr>
                            <w:t>i</w:t>
                          </w:r>
                          <w:r w:rsidRPr="003801B3">
                            <w:rPr>
                              <w:rFonts w:ascii="Calibri" w:eastAsia="Calibri" w:hAnsi="Calibri" w:cs="Calibri"/>
                              <w:spacing w:val="-5"/>
                              <w:sz w:val="24"/>
                              <w:szCs w:val="24"/>
                              <w:lang w:val="en-GB"/>
                            </w:rPr>
                            <w:t xml:space="preserve"> </w:t>
                          </w:r>
                          <w:r w:rsidRPr="003801B3">
                            <w:rPr>
                              <w:rFonts w:ascii="Calibri" w:eastAsia="Calibri" w:hAnsi="Calibri" w:cs="Calibri"/>
                              <w:sz w:val="24"/>
                              <w:szCs w:val="24"/>
                              <w:lang w:val="en-GB"/>
                            </w:rPr>
                            <w:t>Farma</w:t>
                          </w:r>
                          <w:r w:rsidRPr="003801B3">
                            <w:rPr>
                              <w:rFonts w:ascii="Calibri" w:eastAsia="Calibri" w:hAnsi="Calibri" w:cs="Calibri"/>
                              <w:spacing w:val="-1"/>
                              <w:sz w:val="24"/>
                              <w:szCs w:val="24"/>
                              <w:lang w:val="en-GB"/>
                            </w:rPr>
                            <w:t>c</w:t>
                          </w:r>
                          <w:r w:rsidRPr="003801B3">
                            <w:rPr>
                              <w:rFonts w:ascii="Calibri" w:eastAsia="Calibri" w:hAnsi="Calibri" w:cs="Calibri"/>
                              <w:sz w:val="24"/>
                              <w:szCs w:val="24"/>
                              <w:lang w:val="en-GB"/>
                            </w:rPr>
                            <w:t>i</w:t>
                          </w:r>
                          <w:r w:rsidRPr="003801B3">
                            <w:rPr>
                              <w:rFonts w:ascii="Calibri" w:eastAsia="Calibri" w:hAnsi="Calibri" w:cs="Calibri"/>
                              <w:spacing w:val="-2"/>
                              <w:sz w:val="24"/>
                              <w:szCs w:val="24"/>
                              <w:lang w:val="en-GB"/>
                            </w:rPr>
                            <w:t xml:space="preserve"> </w:t>
                          </w:r>
                          <w:r w:rsidRPr="003801B3">
                            <w:rPr>
                              <w:rFonts w:ascii="Calibri" w:eastAsia="Calibri" w:hAnsi="Calibri" w:cs="Calibri"/>
                              <w:spacing w:val="-1"/>
                              <w:sz w:val="24"/>
                              <w:szCs w:val="24"/>
                              <w:lang w:val="en-GB"/>
                            </w:rPr>
                            <w:t>B</w:t>
                          </w:r>
                          <w:r w:rsidRPr="003801B3">
                            <w:rPr>
                              <w:rFonts w:ascii="Calibri" w:eastAsia="Calibri" w:hAnsi="Calibri" w:cs="Calibri"/>
                              <w:sz w:val="24"/>
                              <w:szCs w:val="24"/>
                              <w:lang w:val="en-GB"/>
                            </w:rPr>
                            <w:t>io</w:t>
                          </w:r>
                          <w:r w:rsidRPr="003801B3">
                            <w:rPr>
                              <w:rFonts w:ascii="Calibri" w:eastAsia="Calibri" w:hAnsi="Calibri" w:cs="Calibri"/>
                              <w:spacing w:val="-1"/>
                              <w:sz w:val="24"/>
                              <w:szCs w:val="24"/>
                              <w:lang w:val="en-GB"/>
                            </w:rPr>
                            <w:t>s</w:t>
                          </w:r>
                          <w:r w:rsidRPr="003801B3">
                            <w:rPr>
                              <w:rFonts w:ascii="Calibri" w:eastAsia="Calibri" w:hAnsi="Calibri" w:cs="Calibri"/>
                              <w:sz w:val="24"/>
                              <w:szCs w:val="24"/>
                              <w:lang w:val="en-GB"/>
                            </w:rPr>
                            <w:t>imi</w:t>
                          </w:r>
                          <w:r w:rsidRPr="003801B3">
                            <w:rPr>
                              <w:rFonts w:ascii="Calibri" w:eastAsia="Calibri" w:hAnsi="Calibri" w:cs="Calibri"/>
                              <w:spacing w:val="-1"/>
                              <w:sz w:val="24"/>
                              <w:szCs w:val="24"/>
                              <w:lang w:val="en-GB"/>
                            </w:rPr>
                            <w:t>l</w:t>
                          </w:r>
                          <w:r w:rsidRPr="003801B3">
                            <w:rPr>
                              <w:rFonts w:ascii="Calibri" w:eastAsia="Calibri" w:hAnsi="Calibri" w:cs="Calibri"/>
                              <w:sz w:val="24"/>
                              <w:szCs w:val="24"/>
                              <w:lang w:val="en-GB"/>
                            </w:rPr>
                            <w:t>ari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5.65pt;margin-top:791.25pt;width:334.4pt;height:14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XcsgIAALA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" filled="f" stroked="f">
              <v:textbox inset="0,0,0,0">
                <w:txbxContent>
                  <w:p w:rsidR="004F4F9D" w:rsidRPr="003801B3" w:rsidRDefault="004F4F9D">
                    <w:pPr>
                      <w:spacing w:line="264" w:lineRule="exact"/>
                      <w:ind w:left="20"/>
                      <w:rPr>
                        <w:rFonts w:ascii="Calibri" w:eastAsia="Calibri" w:hAnsi="Calibri" w:cs="Calibri"/>
                        <w:sz w:val="24"/>
                        <w:szCs w:val="24"/>
                        <w:lang w:val="en-GB"/>
                      </w:rPr>
                    </w:pPr>
                    <w:r w:rsidRPr="003801B3">
                      <w:rPr>
                        <w:rFonts w:ascii="Calibri" w:eastAsia="Calibri" w:hAnsi="Calibri" w:cs="Calibri"/>
                        <w:sz w:val="24"/>
                        <w:szCs w:val="24"/>
                        <w:lang w:val="en-GB"/>
                      </w:rPr>
                      <w:t>A</w:t>
                    </w:r>
                    <w:r w:rsidRPr="003801B3">
                      <w:rPr>
                        <w:rFonts w:ascii="Calibri" w:eastAsia="Calibri" w:hAnsi="Calibri" w:cs="Calibri"/>
                        <w:spacing w:val="-1"/>
                        <w:sz w:val="24"/>
                        <w:szCs w:val="24"/>
                        <w:lang w:val="en-GB"/>
                      </w:rPr>
                      <w:t>g</w:t>
                    </w:r>
                    <w:r w:rsidRPr="003801B3">
                      <w:rPr>
                        <w:rFonts w:ascii="Calibri" w:eastAsia="Calibri" w:hAnsi="Calibri" w:cs="Calibri"/>
                        <w:sz w:val="24"/>
                        <w:szCs w:val="24"/>
                        <w:lang w:val="en-GB"/>
                      </w:rPr>
                      <w:t>e</w:t>
                    </w:r>
                    <w:r w:rsidRPr="003801B3">
                      <w:rPr>
                        <w:rFonts w:ascii="Calibri" w:eastAsia="Calibri" w:hAnsi="Calibri" w:cs="Calibri"/>
                        <w:spacing w:val="1"/>
                        <w:sz w:val="24"/>
                        <w:szCs w:val="24"/>
                        <w:lang w:val="en-GB"/>
                      </w:rPr>
                      <w:t>nz</w:t>
                    </w:r>
                    <w:r w:rsidRPr="003801B3">
                      <w:rPr>
                        <w:rFonts w:ascii="Calibri" w:eastAsia="Calibri" w:hAnsi="Calibri" w:cs="Calibri"/>
                        <w:sz w:val="24"/>
                        <w:szCs w:val="24"/>
                        <w:lang w:val="en-GB"/>
                      </w:rPr>
                      <w:t>ia</w:t>
                    </w:r>
                    <w:r w:rsidRPr="003801B3">
                      <w:rPr>
                        <w:rFonts w:ascii="Calibri" w:eastAsia="Calibri" w:hAnsi="Calibri" w:cs="Calibri"/>
                        <w:spacing w:val="-6"/>
                        <w:sz w:val="24"/>
                        <w:szCs w:val="24"/>
                        <w:lang w:val="en-GB"/>
                      </w:rPr>
                      <w:t xml:space="preserve"> </w:t>
                    </w:r>
                    <w:r w:rsidRPr="003801B3">
                      <w:rPr>
                        <w:rFonts w:ascii="Calibri" w:eastAsia="Calibri" w:hAnsi="Calibri" w:cs="Calibri"/>
                        <w:spacing w:val="-1"/>
                        <w:sz w:val="24"/>
                        <w:szCs w:val="24"/>
                        <w:lang w:val="en-GB"/>
                      </w:rPr>
                      <w:t>I</w:t>
                    </w:r>
                    <w:r w:rsidRPr="003801B3">
                      <w:rPr>
                        <w:rFonts w:ascii="Calibri" w:eastAsia="Calibri" w:hAnsi="Calibri" w:cs="Calibri"/>
                        <w:spacing w:val="1"/>
                        <w:sz w:val="24"/>
                        <w:szCs w:val="24"/>
                        <w:lang w:val="en-GB"/>
                      </w:rPr>
                      <w:t>t</w:t>
                    </w:r>
                    <w:r w:rsidRPr="003801B3">
                      <w:rPr>
                        <w:rFonts w:ascii="Calibri" w:eastAsia="Calibri" w:hAnsi="Calibri" w:cs="Calibri"/>
                        <w:sz w:val="24"/>
                        <w:szCs w:val="24"/>
                        <w:lang w:val="en-GB"/>
                      </w:rPr>
                      <w:t>ali</w:t>
                    </w:r>
                    <w:r w:rsidRPr="003801B3">
                      <w:rPr>
                        <w:rFonts w:ascii="Calibri" w:eastAsia="Calibri" w:hAnsi="Calibri" w:cs="Calibri"/>
                        <w:spacing w:val="-3"/>
                        <w:sz w:val="24"/>
                        <w:szCs w:val="24"/>
                        <w:lang w:val="en-GB"/>
                      </w:rPr>
                      <w:t>a</w:t>
                    </w:r>
                    <w:r w:rsidRPr="003801B3">
                      <w:rPr>
                        <w:rFonts w:ascii="Calibri" w:eastAsia="Calibri" w:hAnsi="Calibri" w:cs="Calibri"/>
                        <w:spacing w:val="1"/>
                        <w:sz w:val="24"/>
                        <w:szCs w:val="24"/>
                        <w:lang w:val="en-GB"/>
                      </w:rPr>
                      <w:t>n</w:t>
                    </w:r>
                    <w:r w:rsidRPr="003801B3">
                      <w:rPr>
                        <w:rFonts w:ascii="Calibri" w:eastAsia="Calibri" w:hAnsi="Calibri" w:cs="Calibri"/>
                        <w:sz w:val="24"/>
                        <w:szCs w:val="24"/>
                        <w:lang w:val="en-GB"/>
                      </w:rPr>
                      <w:t>a</w:t>
                    </w:r>
                    <w:r w:rsidRPr="003801B3">
                      <w:rPr>
                        <w:rFonts w:ascii="Calibri" w:eastAsia="Calibri" w:hAnsi="Calibri" w:cs="Calibri"/>
                        <w:spacing w:val="-5"/>
                        <w:sz w:val="24"/>
                        <w:szCs w:val="24"/>
                        <w:lang w:val="en-GB"/>
                      </w:rPr>
                      <w:t xml:space="preserve"> </w:t>
                    </w:r>
                    <w:r w:rsidRPr="003801B3">
                      <w:rPr>
                        <w:rFonts w:ascii="Calibri" w:eastAsia="Calibri" w:hAnsi="Calibri" w:cs="Calibri"/>
                        <w:spacing w:val="1"/>
                        <w:sz w:val="24"/>
                        <w:szCs w:val="24"/>
                        <w:lang w:val="en-GB"/>
                      </w:rPr>
                      <w:t>d</w:t>
                    </w:r>
                    <w:r w:rsidRPr="003801B3">
                      <w:rPr>
                        <w:rFonts w:ascii="Calibri" w:eastAsia="Calibri" w:hAnsi="Calibri" w:cs="Calibri"/>
                        <w:sz w:val="24"/>
                        <w:szCs w:val="24"/>
                        <w:lang w:val="en-GB"/>
                      </w:rPr>
                      <w:t>el</w:t>
                    </w:r>
                    <w:r w:rsidRPr="003801B3">
                      <w:rPr>
                        <w:rFonts w:ascii="Calibri" w:eastAsia="Calibri" w:hAnsi="Calibri" w:cs="Calibri"/>
                        <w:spacing w:val="-5"/>
                        <w:sz w:val="24"/>
                        <w:szCs w:val="24"/>
                        <w:lang w:val="en-GB"/>
                      </w:rPr>
                      <w:t xml:space="preserve"> </w:t>
                    </w:r>
                    <w:r w:rsidRPr="003801B3">
                      <w:rPr>
                        <w:rFonts w:ascii="Calibri" w:eastAsia="Calibri" w:hAnsi="Calibri" w:cs="Calibri"/>
                        <w:sz w:val="24"/>
                        <w:szCs w:val="24"/>
                        <w:lang w:val="en-GB"/>
                      </w:rPr>
                      <w:t>Far</w:t>
                    </w:r>
                    <w:r w:rsidRPr="003801B3">
                      <w:rPr>
                        <w:rFonts w:ascii="Calibri" w:eastAsia="Calibri" w:hAnsi="Calibri" w:cs="Calibri"/>
                        <w:spacing w:val="-3"/>
                        <w:sz w:val="24"/>
                        <w:szCs w:val="24"/>
                        <w:lang w:val="en-GB"/>
                      </w:rPr>
                      <w:t>m</w:t>
                    </w:r>
                    <w:r w:rsidRPr="003801B3">
                      <w:rPr>
                        <w:rFonts w:ascii="Calibri" w:eastAsia="Calibri" w:hAnsi="Calibri" w:cs="Calibri"/>
                        <w:sz w:val="24"/>
                        <w:szCs w:val="24"/>
                        <w:lang w:val="en-GB"/>
                      </w:rPr>
                      <w:t>a</w:t>
                    </w:r>
                    <w:r w:rsidRPr="003801B3">
                      <w:rPr>
                        <w:rFonts w:ascii="Calibri" w:eastAsia="Calibri" w:hAnsi="Calibri" w:cs="Calibri"/>
                        <w:spacing w:val="-1"/>
                        <w:sz w:val="24"/>
                        <w:szCs w:val="24"/>
                        <w:lang w:val="en-GB"/>
                      </w:rPr>
                      <w:t>c</w:t>
                    </w:r>
                    <w:r w:rsidRPr="003801B3">
                      <w:rPr>
                        <w:rFonts w:ascii="Calibri" w:eastAsia="Calibri" w:hAnsi="Calibri" w:cs="Calibri"/>
                        <w:sz w:val="24"/>
                        <w:szCs w:val="24"/>
                        <w:lang w:val="en-GB"/>
                      </w:rPr>
                      <w:t>o</w:t>
                    </w:r>
                    <w:r w:rsidRPr="003801B3">
                      <w:rPr>
                        <w:rFonts w:ascii="Calibri" w:eastAsia="Calibri" w:hAnsi="Calibri" w:cs="Calibri"/>
                        <w:spacing w:val="-3"/>
                        <w:sz w:val="24"/>
                        <w:szCs w:val="24"/>
                        <w:lang w:val="en-GB"/>
                      </w:rPr>
                      <w:t xml:space="preserve"> </w:t>
                    </w:r>
                    <w:r w:rsidRPr="003801B3">
                      <w:rPr>
                        <w:rFonts w:ascii="Calibri" w:eastAsia="Calibri" w:hAnsi="Calibri" w:cs="Calibri"/>
                        <w:sz w:val="24"/>
                        <w:szCs w:val="24"/>
                        <w:lang w:val="en-GB"/>
                      </w:rPr>
                      <w:t>–</w:t>
                    </w:r>
                    <w:r w:rsidRPr="003801B3">
                      <w:rPr>
                        <w:rFonts w:ascii="Calibri" w:eastAsia="Calibri" w:hAnsi="Calibri" w:cs="Calibri"/>
                        <w:spacing w:val="-2"/>
                        <w:sz w:val="24"/>
                        <w:szCs w:val="24"/>
                        <w:lang w:val="en-GB"/>
                      </w:rPr>
                      <w:t xml:space="preserve"> </w:t>
                    </w:r>
                    <w:r w:rsidRPr="003801B3">
                      <w:rPr>
                        <w:rFonts w:ascii="Calibri" w:eastAsia="Calibri" w:hAnsi="Calibri" w:cs="Calibri"/>
                        <w:i/>
                        <w:sz w:val="24"/>
                        <w:szCs w:val="24"/>
                        <w:lang w:val="en-GB"/>
                      </w:rPr>
                      <w:t>P</w:t>
                    </w:r>
                    <w:r w:rsidRPr="003801B3">
                      <w:rPr>
                        <w:rFonts w:ascii="Calibri" w:eastAsia="Calibri" w:hAnsi="Calibri" w:cs="Calibri"/>
                        <w:i/>
                        <w:spacing w:val="-1"/>
                        <w:sz w:val="24"/>
                        <w:szCs w:val="24"/>
                        <w:lang w:val="en-GB"/>
                      </w:rPr>
                      <w:t>o</w:t>
                    </w:r>
                    <w:r w:rsidRPr="003801B3">
                      <w:rPr>
                        <w:rFonts w:ascii="Calibri" w:eastAsia="Calibri" w:hAnsi="Calibri" w:cs="Calibri"/>
                        <w:i/>
                        <w:sz w:val="24"/>
                        <w:szCs w:val="24"/>
                        <w:lang w:val="en-GB"/>
                      </w:rPr>
                      <w:t>s</w:t>
                    </w:r>
                    <w:r w:rsidRPr="003801B3">
                      <w:rPr>
                        <w:rFonts w:ascii="Calibri" w:eastAsia="Calibri" w:hAnsi="Calibri" w:cs="Calibri"/>
                        <w:i/>
                        <w:spacing w:val="-3"/>
                        <w:sz w:val="24"/>
                        <w:szCs w:val="24"/>
                        <w:lang w:val="en-GB"/>
                      </w:rPr>
                      <w:t>i</w:t>
                    </w:r>
                    <w:r w:rsidRPr="003801B3">
                      <w:rPr>
                        <w:rFonts w:ascii="Calibri" w:eastAsia="Calibri" w:hAnsi="Calibri" w:cs="Calibri"/>
                        <w:i/>
                        <w:spacing w:val="1"/>
                        <w:sz w:val="24"/>
                        <w:szCs w:val="24"/>
                        <w:lang w:val="en-GB"/>
                      </w:rPr>
                      <w:t>t</w:t>
                    </w:r>
                    <w:r w:rsidRPr="003801B3">
                      <w:rPr>
                        <w:rFonts w:ascii="Calibri" w:eastAsia="Calibri" w:hAnsi="Calibri" w:cs="Calibri"/>
                        <w:i/>
                        <w:sz w:val="24"/>
                        <w:szCs w:val="24"/>
                        <w:lang w:val="en-GB"/>
                      </w:rPr>
                      <w:t>i</w:t>
                    </w:r>
                    <w:r w:rsidRPr="003801B3">
                      <w:rPr>
                        <w:rFonts w:ascii="Calibri" w:eastAsia="Calibri" w:hAnsi="Calibri" w:cs="Calibri"/>
                        <w:i/>
                        <w:spacing w:val="-1"/>
                        <w:sz w:val="24"/>
                        <w:szCs w:val="24"/>
                        <w:lang w:val="en-GB"/>
                      </w:rPr>
                      <w:t>o</w:t>
                    </w:r>
                    <w:r w:rsidRPr="003801B3">
                      <w:rPr>
                        <w:rFonts w:ascii="Calibri" w:eastAsia="Calibri" w:hAnsi="Calibri" w:cs="Calibri"/>
                        <w:i/>
                        <w:sz w:val="24"/>
                        <w:szCs w:val="24"/>
                        <w:lang w:val="en-GB"/>
                      </w:rPr>
                      <w:t>n</w:t>
                    </w:r>
                    <w:r w:rsidRPr="003801B3">
                      <w:rPr>
                        <w:rFonts w:ascii="Calibri" w:eastAsia="Calibri" w:hAnsi="Calibri" w:cs="Calibri"/>
                        <w:i/>
                        <w:spacing w:val="-4"/>
                        <w:sz w:val="24"/>
                        <w:szCs w:val="24"/>
                        <w:lang w:val="en-GB"/>
                      </w:rPr>
                      <w:t xml:space="preserve"> </w:t>
                    </w:r>
                    <w:r w:rsidRPr="003801B3">
                      <w:rPr>
                        <w:rFonts w:ascii="Calibri" w:eastAsia="Calibri" w:hAnsi="Calibri" w:cs="Calibri"/>
                        <w:i/>
                        <w:sz w:val="24"/>
                        <w:szCs w:val="24"/>
                        <w:lang w:val="en-GB"/>
                      </w:rPr>
                      <w:t>P</w:t>
                    </w:r>
                    <w:r w:rsidRPr="003801B3">
                      <w:rPr>
                        <w:rFonts w:ascii="Calibri" w:eastAsia="Calibri" w:hAnsi="Calibri" w:cs="Calibri"/>
                        <w:i/>
                        <w:spacing w:val="-1"/>
                        <w:sz w:val="24"/>
                        <w:szCs w:val="24"/>
                        <w:lang w:val="en-GB"/>
                      </w:rPr>
                      <w:t>ap</w:t>
                    </w:r>
                    <w:r w:rsidRPr="003801B3">
                      <w:rPr>
                        <w:rFonts w:ascii="Calibri" w:eastAsia="Calibri" w:hAnsi="Calibri" w:cs="Calibri"/>
                        <w:i/>
                        <w:sz w:val="24"/>
                        <w:szCs w:val="24"/>
                        <w:lang w:val="en-GB"/>
                      </w:rPr>
                      <w:t>er</w:t>
                    </w:r>
                    <w:r w:rsidRPr="003801B3">
                      <w:rPr>
                        <w:rFonts w:ascii="Calibri" w:eastAsia="Calibri" w:hAnsi="Calibri" w:cs="Calibri"/>
                        <w:i/>
                        <w:spacing w:val="-4"/>
                        <w:sz w:val="24"/>
                        <w:szCs w:val="24"/>
                        <w:lang w:val="en-GB"/>
                      </w:rPr>
                      <w:t xml:space="preserve"> </w:t>
                    </w:r>
                    <w:r w:rsidRPr="003801B3">
                      <w:rPr>
                        <w:rFonts w:ascii="Calibri" w:eastAsia="Calibri" w:hAnsi="Calibri" w:cs="Calibri"/>
                        <w:spacing w:val="-1"/>
                        <w:sz w:val="24"/>
                        <w:szCs w:val="24"/>
                        <w:lang w:val="en-GB"/>
                      </w:rPr>
                      <w:t>s</w:t>
                    </w:r>
                    <w:r w:rsidRPr="003801B3">
                      <w:rPr>
                        <w:rFonts w:ascii="Calibri" w:eastAsia="Calibri" w:hAnsi="Calibri" w:cs="Calibri"/>
                        <w:spacing w:val="1"/>
                        <w:sz w:val="24"/>
                        <w:szCs w:val="24"/>
                        <w:lang w:val="en-GB"/>
                      </w:rPr>
                      <w:t>u</w:t>
                    </w:r>
                    <w:r w:rsidRPr="003801B3">
                      <w:rPr>
                        <w:rFonts w:ascii="Calibri" w:eastAsia="Calibri" w:hAnsi="Calibri" w:cs="Calibri"/>
                        <w:sz w:val="24"/>
                        <w:szCs w:val="24"/>
                        <w:lang w:val="en-GB"/>
                      </w:rPr>
                      <w:t>i</w:t>
                    </w:r>
                    <w:r w:rsidRPr="003801B3">
                      <w:rPr>
                        <w:rFonts w:ascii="Calibri" w:eastAsia="Calibri" w:hAnsi="Calibri" w:cs="Calibri"/>
                        <w:spacing w:val="-5"/>
                        <w:sz w:val="24"/>
                        <w:szCs w:val="24"/>
                        <w:lang w:val="en-GB"/>
                      </w:rPr>
                      <w:t xml:space="preserve"> </w:t>
                    </w:r>
                    <w:r w:rsidRPr="003801B3">
                      <w:rPr>
                        <w:rFonts w:ascii="Calibri" w:eastAsia="Calibri" w:hAnsi="Calibri" w:cs="Calibri"/>
                        <w:sz w:val="24"/>
                        <w:szCs w:val="24"/>
                        <w:lang w:val="en-GB"/>
                      </w:rPr>
                      <w:t>Farma</w:t>
                    </w:r>
                    <w:r w:rsidRPr="003801B3">
                      <w:rPr>
                        <w:rFonts w:ascii="Calibri" w:eastAsia="Calibri" w:hAnsi="Calibri" w:cs="Calibri"/>
                        <w:spacing w:val="-1"/>
                        <w:sz w:val="24"/>
                        <w:szCs w:val="24"/>
                        <w:lang w:val="en-GB"/>
                      </w:rPr>
                      <w:t>c</w:t>
                    </w:r>
                    <w:r w:rsidRPr="003801B3">
                      <w:rPr>
                        <w:rFonts w:ascii="Calibri" w:eastAsia="Calibri" w:hAnsi="Calibri" w:cs="Calibri"/>
                        <w:sz w:val="24"/>
                        <w:szCs w:val="24"/>
                        <w:lang w:val="en-GB"/>
                      </w:rPr>
                      <w:t>i</w:t>
                    </w:r>
                    <w:r w:rsidRPr="003801B3">
                      <w:rPr>
                        <w:rFonts w:ascii="Calibri" w:eastAsia="Calibri" w:hAnsi="Calibri" w:cs="Calibri"/>
                        <w:spacing w:val="-2"/>
                        <w:sz w:val="24"/>
                        <w:szCs w:val="24"/>
                        <w:lang w:val="en-GB"/>
                      </w:rPr>
                      <w:t xml:space="preserve"> </w:t>
                    </w:r>
                    <w:r w:rsidRPr="003801B3">
                      <w:rPr>
                        <w:rFonts w:ascii="Calibri" w:eastAsia="Calibri" w:hAnsi="Calibri" w:cs="Calibri"/>
                        <w:spacing w:val="-1"/>
                        <w:sz w:val="24"/>
                        <w:szCs w:val="24"/>
                        <w:lang w:val="en-GB"/>
                      </w:rPr>
                      <w:t>B</w:t>
                    </w:r>
                    <w:r w:rsidRPr="003801B3">
                      <w:rPr>
                        <w:rFonts w:ascii="Calibri" w:eastAsia="Calibri" w:hAnsi="Calibri" w:cs="Calibri"/>
                        <w:sz w:val="24"/>
                        <w:szCs w:val="24"/>
                        <w:lang w:val="en-GB"/>
                      </w:rPr>
                      <w:t>io</w:t>
                    </w:r>
                    <w:r w:rsidRPr="003801B3">
                      <w:rPr>
                        <w:rFonts w:ascii="Calibri" w:eastAsia="Calibri" w:hAnsi="Calibri" w:cs="Calibri"/>
                        <w:spacing w:val="-1"/>
                        <w:sz w:val="24"/>
                        <w:szCs w:val="24"/>
                        <w:lang w:val="en-GB"/>
                      </w:rPr>
                      <w:t>s</w:t>
                    </w:r>
                    <w:r w:rsidRPr="003801B3">
                      <w:rPr>
                        <w:rFonts w:ascii="Calibri" w:eastAsia="Calibri" w:hAnsi="Calibri" w:cs="Calibri"/>
                        <w:sz w:val="24"/>
                        <w:szCs w:val="24"/>
                        <w:lang w:val="en-GB"/>
                      </w:rPr>
                      <w:t>imi</w:t>
                    </w:r>
                    <w:r w:rsidRPr="003801B3">
                      <w:rPr>
                        <w:rFonts w:ascii="Calibri" w:eastAsia="Calibri" w:hAnsi="Calibri" w:cs="Calibri"/>
                        <w:spacing w:val="-1"/>
                        <w:sz w:val="24"/>
                        <w:szCs w:val="24"/>
                        <w:lang w:val="en-GB"/>
                      </w:rPr>
                      <w:t>l</w:t>
                    </w:r>
                    <w:r w:rsidRPr="003801B3">
                      <w:rPr>
                        <w:rFonts w:ascii="Calibri" w:eastAsia="Calibri" w:hAnsi="Calibri" w:cs="Calibri"/>
                        <w:sz w:val="24"/>
                        <w:szCs w:val="24"/>
                        <w:lang w:val="en-GB"/>
                      </w:rPr>
                      <w:t>ari</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EFD" w:rsidRPr="003801B3" w:rsidRDefault="00D06AB4">
    <w:pPr>
      <w:spacing w:line="200" w:lineRule="exact"/>
      <w:rPr>
        <w:sz w:val="20"/>
        <w:szCs w:val="20"/>
        <w:lang w:val="en-GB"/>
      </w:rPr>
    </w:pPr>
    <w:r>
      <w:rPr>
        <w:noProof/>
      </w:rPr>
      <mc:AlternateContent>
        <mc:Choice Requires="wps">
          <w:drawing>
            <wp:anchor distT="0" distB="0" distL="114300" distR="114300" simplePos="0" relativeHeight="251662848" behindDoc="1" locked="0" layoutInCell="1" allowOverlap="1">
              <wp:simplePos x="0" y="0"/>
              <wp:positionH relativeFrom="page">
                <wp:posOffset>706755</wp:posOffset>
              </wp:positionH>
              <wp:positionV relativeFrom="page">
                <wp:posOffset>10048875</wp:posOffset>
              </wp:positionV>
              <wp:extent cx="5368290" cy="177800"/>
              <wp:effectExtent l="0" t="0" r="3810"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2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F9D" w:rsidRPr="003801B3" w:rsidRDefault="004F4F9D" w:rsidP="00504029">
                          <w:pPr>
                            <w:spacing w:line="264" w:lineRule="exact"/>
                            <w:ind w:left="20"/>
                            <w:rPr>
                              <w:rFonts w:ascii="Calibri" w:eastAsia="Calibri" w:hAnsi="Calibri" w:cs="Calibri"/>
                              <w:sz w:val="24"/>
                              <w:szCs w:val="24"/>
                              <w:lang w:val="en-GB"/>
                            </w:rPr>
                          </w:pPr>
                          <w:r w:rsidRPr="003801B3">
                            <w:rPr>
                              <w:rFonts w:ascii="Calibri" w:eastAsia="Calibri" w:hAnsi="Calibri" w:cs="Calibri"/>
                              <w:sz w:val="24"/>
                              <w:szCs w:val="24"/>
                              <w:lang w:val="en-GB"/>
                            </w:rPr>
                            <w:t>A</w:t>
                          </w:r>
                          <w:r w:rsidRPr="003801B3">
                            <w:rPr>
                              <w:rFonts w:ascii="Calibri" w:eastAsia="Calibri" w:hAnsi="Calibri" w:cs="Calibri"/>
                              <w:spacing w:val="-1"/>
                              <w:sz w:val="24"/>
                              <w:szCs w:val="24"/>
                              <w:lang w:val="en-GB"/>
                            </w:rPr>
                            <w:t>g</w:t>
                          </w:r>
                          <w:r w:rsidRPr="003801B3">
                            <w:rPr>
                              <w:rFonts w:ascii="Calibri" w:eastAsia="Calibri" w:hAnsi="Calibri" w:cs="Calibri"/>
                              <w:sz w:val="24"/>
                              <w:szCs w:val="24"/>
                              <w:lang w:val="en-GB"/>
                            </w:rPr>
                            <w:t>e</w:t>
                          </w:r>
                          <w:r w:rsidRPr="003801B3">
                            <w:rPr>
                              <w:rFonts w:ascii="Calibri" w:eastAsia="Calibri" w:hAnsi="Calibri" w:cs="Calibri"/>
                              <w:spacing w:val="1"/>
                              <w:sz w:val="24"/>
                              <w:szCs w:val="24"/>
                              <w:lang w:val="en-GB"/>
                            </w:rPr>
                            <w:t>nz</w:t>
                          </w:r>
                          <w:r w:rsidRPr="003801B3">
                            <w:rPr>
                              <w:rFonts w:ascii="Calibri" w:eastAsia="Calibri" w:hAnsi="Calibri" w:cs="Calibri"/>
                              <w:sz w:val="24"/>
                              <w:szCs w:val="24"/>
                              <w:lang w:val="en-GB"/>
                            </w:rPr>
                            <w:t>ia</w:t>
                          </w:r>
                          <w:r w:rsidRPr="003801B3">
                            <w:rPr>
                              <w:rFonts w:ascii="Calibri" w:eastAsia="Calibri" w:hAnsi="Calibri" w:cs="Calibri"/>
                              <w:spacing w:val="-6"/>
                              <w:sz w:val="24"/>
                              <w:szCs w:val="24"/>
                              <w:lang w:val="en-GB"/>
                            </w:rPr>
                            <w:t xml:space="preserve"> </w:t>
                          </w:r>
                          <w:r w:rsidRPr="003801B3">
                            <w:rPr>
                              <w:rFonts w:ascii="Calibri" w:eastAsia="Calibri" w:hAnsi="Calibri" w:cs="Calibri"/>
                              <w:spacing w:val="-1"/>
                              <w:sz w:val="24"/>
                              <w:szCs w:val="24"/>
                              <w:lang w:val="en-GB"/>
                            </w:rPr>
                            <w:t>I</w:t>
                          </w:r>
                          <w:r w:rsidRPr="003801B3">
                            <w:rPr>
                              <w:rFonts w:ascii="Calibri" w:eastAsia="Calibri" w:hAnsi="Calibri" w:cs="Calibri"/>
                              <w:spacing w:val="1"/>
                              <w:sz w:val="24"/>
                              <w:szCs w:val="24"/>
                              <w:lang w:val="en-GB"/>
                            </w:rPr>
                            <w:t>t</w:t>
                          </w:r>
                          <w:r w:rsidRPr="003801B3">
                            <w:rPr>
                              <w:rFonts w:ascii="Calibri" w:eastAsia="Calibri" w:hAnsi="Calibri" w:cs="Calibri"/>
                              <w:sz w:val="24"/>
                              <w:szCs w:val="24"/>
                              <w:lang w:val="en-GB"/>
                            </w:rPr>
                            <w:t>ali</w:t>
                          </w:r>
                          <w:r w:rsidRPr="003801B3">
                            <w:rPr>
                              <w:rFonts w:ascii="Calibri" w:eastAsia="Calibri" w:hAnsi="Calibri" w:cs="Calibri"/>
                              <w:spacing w:val="-3"/>
                              <w:sz w:val="24"/>
                              <w:szCs w:val="24"/>
                              <w:lang w:val="en-GB"/>
                            </w:rPr>
                            <w:t>a</w:t>
                          </w:r>
                          <w:r w:rsidRPr="003801B3">
                            <w:rPr>
                              <w:rFonts w:ascii="Calibri" w:eastAsia="Calibri" w:hAnsi="Calibri" w:cs="Calibri"/>
                              <w:spacing w:val="1"/>
                              <w:sz w:val="24"/>
                              <w:szCs w:val="24"/>
                              <w:lang w:val="en-GB"/>
                            </w:rPr>
                            <w:t>n</w:t>
                          </w:r>
                          <w:r w:rsidRPr="003801B3">
                            <w:rPr>
                              <w:rFonts w:ascii="Calibri" w:eastAsia="Calibri" w:hAnsi="Calibri" w:cs="Calibri"/>
                              <w:sz w:val="24"/>
                              <w:szCs w:val="24"/>
                              <w:lang w:val="en-GB"/>
                            </w:rPr>
                            <w:t>a</w:t>
                          </w:r>
                          <w:r w:rsidRPr="003801B3">
                            <w:rPr>
                              <w:rFonts w:ascii="Calibri" w:eastAsia="Calibri" w:hAnsi="Calibri" w:cs="Calibri"/>
                              <w:spacing w:val="-5"/>
                              <w:sz w:val="24"/>
                              <w:szCs w:val="24"/>
                              <w:lang w:val="en-GB"/>
                            </w:rPr>
                            <w:t xml:space="preserve"> </w:t>
                          </w:r>
                          <w:r w:rsidRPr="003801B3">
                            <w:rPr>
                              <w:rFonts w:ascii="Calibri" w:eastAsia="Calibri" w:hAnsi="Calibri" w:cs="Calibri"/>
                              <w:spacing w:val="1"/>
                              <w:sz w:val="24"/>
                              <w:szCs w:val="24"/>
                              <w:lang w:val="en-GB"/>
                            </w:rPr>
                            <w:t>d</w:t>
                          </w:r>
                          <w:r w:rsidRPr="003801B3">
                            <w:rPr>
                              <w:rFonts w:ascii="Calibri" w:eastAsia="Calibri" w:hAnsi="Calibri" w:cs="Calibri"/>
                              <w:sz w:val="24"/>
                              <w:szCs w:val="24"/>
                              <w:lang w:val="en-GB"/>
                            </w:rPr>
                            <w:t>el</w:t>
                          </w:r>
                          <w:r w:rsidRPr="003801B3">
                            <w:rPr>
                              <w:rFonts w:ascii="Calibri" w:eastAsia="Calibri" w:hAnsi="Calibri" w:cs="Calibri"/>
                              <w:spacing w:val="-5"/>
                              <w:sz w:val="24"/>
                              <w:szCs w:val="24"/>
                              <w:lang w:val="en-GB"/>
                            </w:rPr>
                            <w:t xml:space="preserve"> </w:t>
                          </w:r>
                          <w:r w:rsidRPr="003801B3">
                            <w:rPr>
                              <w:rFonts w:ascii="Calibri" w:eastAsia="Calibri" w:hAnsi="Calibri" w:cs="Calibri"/>
                              <w:sz w:val="24"/>
                              <w:szCs w:val="24"/>
                              <w:lang w:val="en-GB"/>
                            </w:rPr>
                            <w:t>Far</w:t>
                          </w:r>
                          <w:r w:rsidRPr="003801B3">
                            <w:rPr>
                              <w:rFonts w:ascii="Calibri" w:eastAsia="Calibri" w:hAnsi="Calibri" w:cs="Calibri"/>
                              <w:spacing w:val="-3"/>
                              <w:sz w:val="24"/>
                              <w:szCs w:val="24"/>
                              <w:lang w:val="en-GB"/>
                            </w:rPr>
                            <w:t>m</w:t>
                          </w:r>
                          <w:r w:rsidRPr="003801B3">
                            <w:rPr>
                              <w:rFonts w:ascii="Calibri" w:eastAsia="Calibri" w:hAnsi="Calibri" w:cs="Calibri"/>
                              <w:sz w:val="24"/>
                              <w:szCs w:val="24"/>
                              <w:lang w:val="en-GB"/>
                            </w:rPr>
                            <w:t>a</w:t>
                          </w:r>
                          <w:r w:rsidRPr="003801B3">
                            <w:rPr>
                              <w:rFonts w:ascii="Calibri" w:eastAsia="Calibri" w:hAnsi="Calibri" w:cs="Calibri"/>
                              <w:spacing w:val="-1"/>
                              <w:sz w:val="24"/>
                              <w:szCs w:val="24"/>
                              <w:lang w:val="en-GB"/>
                            </w:rPr>
                            <w:t>c</w:t>
                          </w:r>
                          <w:r w:rsidRPr="003801B3">
                            <w:rPr>
                              <w:rFonts w:ascii="Calibri" w:eastAsia="Calibri" w:hAnsi="Calibri" w:cs="Calibri"/>
                              <w:sz w:val="24"/>
                              <w:szCs w:val="24"/>
                              <w:lang w:val="en-GB"/>
                            </w:rPr>
                            <w:t>o</w:t>
                          </w:r>
                          <w:r w:rsidRPr="003801B3">
                            <w:rPr>
                              <w:rFonts w:ascii="Calibri" w:eastAsia="Calibri" w:hAnsi="Calibri" w:cs="Calibri"/>
                              <w:spacing w:val="-3"/>
                              <w:sz w:val="24"/>
                              <w:szCs w:val="24"/>
                              <w:lang w:val="en-GB"/>
                            </w:rPr>
                            <w:t xml:space="preserve"> </w:t>
                          </w:r>
                          <w:r w:rsidRPr="003801B3">
                            <w:rPr>
                              <w:rFonts w:ascii="Calibri" w:eastAsia="Calibri" w:hAnsi="Calibri" w:cs="Calibri"/>
                              <w:sz w:val="24"/>
                              <w:szCs w:val="24"/>
                              <w:lang w:val="en-GB"/>
                            </w:rPr>
                            <w:t>–</w:t>
                          </w:r>
                          <w:r w:rsidRPr="003801B3">
                            <w:rPr>
                              <w:rFonts w:ascii="Calibri" w:eastAsia="Calibri" w:hAnsi="Calibri" w:cs="Calibri"/>
                              <w:spacing w:val="-2"/>
                              <w:sz w:val="24"/>
                              <w:szCs w:val="24"/>
                              <w:lang w:val="en-GB"/>
                            </w:rPr>
                            <w:t xml:space="preserve"> </w:t>
                          </w:r>
                          <w:r w:rsidRPr="003801B3">
                            <w:rPr>
                              <w:rFonts w:ascii="Calibri" w:eastAsia="Calibri" w:hAnsi="Calibri" w:cs="Calibri"/>
                              <w:i/>
                              <w:sz w:val="24"/>
                              <w:szCs w:val="24"/>
                              <w:lang w:val="en-GB"/>
                            </w:rPr>
                            <w:t>P</w:t>
                          </w:r>
                          <w:r w:rsidRPr="003801B3">
                            <w:rPr>
                              <w:rFonts w:ascii="Calibri" w:eastAsia="Calibri" w:hAnsi="Calibri" w:cs="Calibri"/>
                              <w:i/>
                              <w:spacing w:val="-1"/>
                              <w:sz w:val="24"/>
                              <w:szCs w:val="24"/>
                              <w:lang w:val="en-GB"/>
                            </w:rPr>
                            <w:t>o</w:t>
                          </w:r>
                          <w:r w:rsidRPr="003801B3">
                            <w:rPr>
                              <w:rFonts w:ascii="Calibri" w:eastAsia="Calibri" w:hAnsi="Calibri" w:cs="Calibri"/>
                              <w:i/>
                              <w:sz w:val="24"/>
                              <w:szCs w:val="24"/>
                              <w:lang w:val="en-GB"/>
                            </w:rPr>
                            <w:t>s</w:t>
                          </w:r>
                          <w:r w:rsidRPr="003801B3">
                            <w:rPr>
                              <w:rFonts w:ascii="Calibri" w:eastAsia="Calibri" w:hAnsi="Calibri" w:cs="Calibri"/>
                              <w:i/>
                              <w:spacing w:val="-3"/>
                              <w:sz w:val="24"/>
                              <w:szCs w:val="24"/>
                              <w:lang w:val="en-GB"/>
                            </w:rPr>
                            <w:t>i</w:t>
                          </w:r>
                          <w:r w:rsidRPr="003801B3">
                            <w:rPr>
                              <w:rFonts w:ascii="Calibri" w:eastAsia="Calibri" w:hAnsi="Calibri" w:cs="Calibri"/>
                              <w:i/>
                              <w:spacing w:val="1"/>
                              <w:sz w:val="24"/>
                              <w:szCs w:val="24"/>
                              <w:lang w:val="en-GB"/>
                            </w:rPr>
                            <w:t>t</w:t>
                          </w:r>
                          <w:r w:rsidRPr="003801B3">
                            <w:rPr>
                              <w:rFonts w:ascii="Calibri" w:eastAsia="Calibri" w:hAnsi="Calibri" w:cs="Calibri"/>
                              <w:i/>
                              <w:sz w:val="24"/>
                              <w:szCs w:val="24"/>
                              <w:lang w:val="en-GB"/>
                            </w:rPr>
                            <w:t>i</w:t>
                          </w:r>
                          <w:r w:rsidRPr="003801B3">
                            <w:rPr>
                              <w:rFonts w:ascii="Calibri" w:eastAsia="Calibri" w:hAnsi="Calibri" w:cs="Calibri"/>
                              <w:i/>
                              <w:spacing w:val="-1"/>
                              <w:sz w:val="24"/>
                              <w:szCs w:val="24"/>
                              <w:lang w:val="en-GB"/>
                            </w:rPr>
                            <w:t>o</w:t>
                          </w:r>
                          <w:r w:rsidRPr="003801B3">
                            <w:rPr>
                              <w:rFonts w:ascii="Calibri" w:eastAsia="Calibri" w:hAnsi="Calibri" w:cs="Calibri"/>
                              <w:i/>
                              <w:sz w:val="24"/>
                              <w:szCs w:val="24"/>
                              <w:lang w:val="en-GB"/>
                            </w:rPr>
                            <w:t>n</w:t>
                          </w:r>
                          <w:r w:rsidRPr="003801B3">
                            <w:rPr>
                              <w:rFonts w:ascii="Calibri" w:eastAsia="Calibri" w:hAnsi="Calibri" w:cs="Calibri"/>
                              <w:i/>
                              <w:spacing w:val="-4"/>
                              <w:sz w:val="24"/>
                              <w:szCs w:val="24"/>
                              <w:lang w:val="en-GB"/>
                            </w:rPr>
                            <w:t xml:space="preserve"> </w:t>
                          </w:r>
                          <w:r w:rsidRPr="003801B3">
                            <w:rPr>
                              <w:rFonts w:ascii="Calibri" w:eastAsia="Calibri" w:hAnsi="Calibri" w:cs="Calibri"/>
                              <w:i/>
                              <w:sz w:val="24"/>
                              <w:szCs w:val="24"/>
                              <w:lang w:val="en-GB"/>
                            </w:rPr>
                            <w:t>P</w:t>
                          </w:r>
                          <w:r w:rsidRPr="003801B3">
                            <w:rPr>
                              <w:rFonts w:ascii="Calibri" w:eastAsia="Calibri" w:hAnsi="Calibri" w:cs="Calibri"/>
                              <w:i/>
                              <w:spacing w:val="-1"/>
                              <w:sz w:val="24"/>
                              <w:szCs w:val="24"/>
                              <w:lang w:val="en-GB"/>
                            </w:rPr>
                            <w:t>ap</w:t>
                          </w:r>
                          <w:r w:rsidRPr="003801B3">
                            <w:rPr>
                              <w:rFonts w:ascii="Calibri" w:eastAsia="Calibri" w:hAnsi="Calibri" w:cs="Calibri"/>
                              <w:i/>
                              <w:sz w:val="24"/>
                              <w:szCs w:val="24"/>
                              <w:lang w:val="en-GB"/>
                            </w:rPr>
                            <w:t>er</w:t>
                          </w:r>
                          <w:r w:rsidRPr="003801B3">
                            <w:rPr>
                              <w:rFonts w:ascii="Calibri" w:eastAsia="Calibri" w:hAnsi="Calibri" w:cs="Calibri"/>
                              <w:i/>
                              <w:spacing w:val="-4"/>
                              <w:sz w:val="24"/>
                              <w:szCs w:val="24"/>
                              <w:lang w:val="en-GB"/>
                            </w:rPr>
                            <w:t xml:space="preserve"> </w:t>
                          </w:r>
                          <w:r w:rsidRPr="00FF7300">
                            <w:rPr>
                              <w:rFonts w:ascii="Calibri" w:eastAsia="Calibri" w:hAnsi="Calibri" w:cs="Calibri"/>
                              <w:i/>
                              <w:spacing w:val="-1"/>
                              <w:sz w:val="24"/>
                              <w:szCs w:val="24"/>
                              <w:lang w:val="en-GB"/>
                            </w:rPr>
                            <w:t>Biosimilar Medicinal Products</w:t>
                          </w:r>
                        </w:p>
                        <w:p w:rsidR="004F4F9D" w:rsidRPr="00504029" w:rsidRDefault="004F4F9D" w:rsidP="00504029">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5.65pt;margin-top:791.25pt;width:422.7pt;height:1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1jswIAALA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" filled="f" stroked="f">
              <v:textbox inset="0,0,0,0">
                <w:txbxContent>
                  <w:p w:rsidR="004F4F9D" w:rsidRPr="003801B3" w:rsidRDefault="004F4F9D" w:rsidP="00504029">
                    <w:pPr>
                      <w:spacing w:line="264" w:lineRule="exact"/>
                      <w:ind w:left="20"/>
                      <w:rPr>
                        <w:rFonts w:ascii="Calibri" w:eastAsia="Calibri" w:hAnsi="Calibri" w:cs="Calibri"/>
                        <w:sz w:val="24"/>
                        <w:szCs w:val="24"/>
                        <w:lang w:val="en-GB"/>
                      </w:rPr>
                    </w:pPr>
                    <w:r w:rsidRPr="003801B3">
                      <w:rPr>
                        <w:rFonts w:ascii="Calibri" w:eastAsia="Calibri" w:hAnsi="Calibri" w:cs="Calibri"/>
                        <w:sz w:val="24"/>
                        <w:szCs w:val="24"/>
                        <w:lang w:val="en-GB"/>
                      </w:rPr>
                      <w:t>A</w:t>
                    </w:r>
                    <w:r w:rsidRPr="003801B3">
                      <w:rPr>
                        <w:rFonts w:ascii="Calibri" w:eastAsia="Calibri" w:hAnsi="Calibri" w:cs="Calibri"/>
                        <w:spacing w:val="-1"/>
                        <w:sz w:val="24"/>
                        <w:szCs w:val="24"/>
                        <w:lang w:val="en-GB"/>
                      </w:rPr>
                      <w:t>g</w:t>
                    </w:r>
                    <w:r w:rsidRPr="003801B3">
                      <w:rPr>
                        <w:rFonts w:ascii="Calibri" w:eastAsia="Calibri" w:hAnsi="Calibri" w:cs="Calibri"/>
                        <w:sz w:val="24"/>
                        <w:szCs w:val="24"/>
                        <w:lang w:val="en-GB"/>
                      </w:rPr>
                      <w:t>e</w:t>
                    </w:r>
                    <w:r w:rsidRPr="003801B3">
                      <w:rPr>
                        <w:rFonts w:ascii="Calibri" w:eastAsia="Calibri" w:hAnsi="Calibri" w:cs="Calibri"/>
                        <w:spacing w:val="1"/>
                        <w:sz w:val="24"/>
                        <w:szCs w:val="24"/>
                        <w:lang w:val="en-GB"/>
                      </w:rPr>
                      <w:t>nz</w:t>
                    </w:r>
                    <w:r w:rsidRPr="003801B3">
                      <w:rPr>
                        <w:rFonts w:ascii="Calibri" w:eastAsia="Calibri" w:hAnsi="Calibri" w:cs="Calibri"/>
                        <w:sz w:val="24"/>
                        <w:szCs w:val="24"/>
                        <w:lang w:val="en-GB"/>
                      </w:rPr>
                      <w:t>ia</w:t>
                    </w:r>
                    <w:r w:rsidRPr="003801B3">
                      <w:rPr>
                        <w:rFonts w:ascii="Calibri" w:eastAsia="Calibri" w:hAnsi="Calibri" w:cs="Calibri"/>
                        <w:spacing w:val="-6"/>
                        <w:sz w:val="24"/>
                        <w:szCs w:val="24"/>
                        <w:lang w:val="en-GB"/>
                      </w:rPr>
                      <w:t xml:space="preserve"> </w:t>
                    </w:r>
                    <w:r w:rsidRPr="003801B3">
                      <w:rPr>
                        <w:rFonts w:ascii="Calibri" w:eastAsia="Calibri" w:hAnsi="Calibri" w:cs="Calibri"/>
                        <w:spacing w:val="-1"/>
                        <w:sz w:val="24"/>
                        <w:szCs w:val="24"/>
                        <w:lang w:val="en-GB"/>
                      </w:rPr>
                      <w:t>I</w:t>
                    </w:r>
                    <w:r w:rsidRPr="003801B3">
                      <w:rPr>
                        <w:rFonts w:ascii="Calibri" w:eastAsia="Calibri" w:hAnsi="Calibri" w:cs="Calibri"/>
                        <w:spacing w:val="1"/>
                        <w:sz w:val="24"/>
                        <w:szCs w:val="24"/>
                        <w:lang w:val="en-GB"/>
                      </w:rPr>
                      <w:t>t</w:t>
                    </w:r>
                    <w:r w:rsidRPr="003801B3">
                      <w:rPr>
                        <w:rFonts w:ascii="Calibri" w:eastAsia="Calibri" w:hAnsi="Calibri" w:cs="Calibri"/>
                        <w:sz w:val="24"/>
                        <w:szCs w:val="24"/>
                        <w:lang w:val="en-GB"/>
                      </w:rPr>
                      <w:t>ali</w:t>
                    </w:r>
                    <w:r w:rsidRPr="003801B3">
                      <w:rPr>
                        <w:rFonts w:ascii="Calibri" w:eastAsia="Calibri" w:hAnsi="Calibri" w:cs="Calibri"/>
                        <w:spacing w:val="-3"/>
                        <w:sz w:val="24"/>
                        <w:szCs w:val="24"/>
                        <w:lang w:val="en-GB"/>
                      </w:rPr>
                      <w:t>a</w:t>
                    </w:r>
                    <w:r w:rsidRPr="003801B3">
                      <w:rPr>
                        <w:rFonts w:ascii="Calibri" w:eastAsia="Calibri" w:hAnsi="Calibri" w:cs="Calibri"/>
                        <w:spacing w:val="1"/>
                        <w:sz w:val="24"/>
                        <w:szCs w:val="24"/>
                        <w:lang w:val="en-GB"/>
                      </w:rPr>
                      <w:t>n</w:t>
                    </w:r>
                    <w:r w:rsidRPr="003801B3">
                      <w:rPr>
                        <w:rFonts w:ascii="Calibri" w:eastAsia="Calibri" w:hAnsi="Calibri" w:cs="Calibri"/>
                        <w:sz w:val="24"/>
                        <w:szCs w:val="24"/>
                        <w:lang w:val="en-GB"/>
                      </w:rPr>
                      <w:t>a</w:t>
                    </w:r>
                    <w:r w:rsidRPr="003801B3">
                      <w:rPr>
                        <w:rFonts w:ascii="Calibri" w:eastAsia="Calibri" w:hAnsi="Calibri" w:cs="Calibri"/>
                        <w:spacing w:val="-5"/>
                        <w:sz w:val="24"/>
                        <w:szCs w:val="24"/>
                        <w:lang w:val="en-GB"/>
                      </w:rPr>
                      <w:t xml:space="preserve"> </w:t>
                    </w:r>
                    <w:r w:rsidRPr="003801B3">
                      <w:rPr>
                        <w:rFonts w:ascii="Calibri" w:eastAsia="Calibri" w:hAnsi="Calibri" w:cs="Calibri"/>
                        <w:spacing w:val="1"/>
                        <w:sz w:val="24"/>
                        <w:szCs w:val="24"/>
                        <w:lang w:val="en-GB"/>
                      </w:rPr>
                      <w:t>d</w:t>
                    </w:r>
                    <w:r w:rsidRPr="003801B3">
                      <w:rPr>
                        <w:rFonts w:ascii="Calibri" w:eastAsia="Calibri" w:hAnsi="Calibri" w:cs="Calibri"/>
                        <w:sz w:val="24"/>
                        <w:szCs w:val="24"/>
                        <w:lang w:val="en-GB"/>
                      </w:rPr>
                      <w:t>el</w:t>
                    </w:r>
                    <w:r w:rsidRPr="003801B3">
                      <w:rPr>
                        <w:rFonts w:ascii="Calibri" w:eastAsia="Calibri" w:hAnsi="Calibri" w:cs="Calibri"/>
                        <w:spacing w:val="-5"/>
                        <w:sz w:val="24"/>
                        <w:szCs w:val="24"/>
                        <w:lang w:val="en-GB"/>
                      </w:rPr>
                      <w:t xml:space="preserve"> </w:t>
                    </w:r>
                    <w:r w:rsidRPr="003801B3">
                      <w:rPr>
                        <w:rFonts w:ascii="Calibri" w:eastAsia="Calibri" w:hAnsi="Calibri" w:cs="Calibri"/>
                        <w:sz w:val="24"/>
                        <w:szCs w:val="24"/>
                        <w:lang w:val="en-GB"/>
                      </w:rPr>
                      <w:t>Far</w:t>
                    </w:r>
                    <w:r w:rsidRPr="003801B3">
                      <w:rPr>
                        <w:rFonts w:ascii="Calibri" w:eastAsia="Calibri" w:hAnsi="Calibri" w:cs="Calibri"/>
                        <w:spacing w:val="-3"/>
                        <w:sz w:val="24"/>
                        <w:szCs w:val="24"/>
                        <w:lang w:val="en-GB"/>
                      </w:rPr>
                      <w:t>m</w:t>
                    </w:r>
                    <w:r w:rsidRPr="003801B3">
                      <w:rPr>
                        <w:rFonts w:ascii="Calibri" w:eastAsia="Calibri" w:hAnsi="Calibri" w:cs="Calibri"/>
                        <w:sz w:val="24"/>
                        <w:szCs w:val="24"/>
                        <w:lang w:val="en-GB"/>
                      </w:rPr>
                      <w:t>a</w:t>
                    </w:r>
                    <w:r w:rsidRPr="003801B3">
                      <w:rPr>
                        <w:rFonts w:ascii="Calibri" w:eastAsia="Calibri" w:hAnsi="Calibri" w:cs="Calibri"/>
                        <w:spacing w:val="-1"/>
                        <w:sz w:val="24"/>
                        <w:szCs w:val="24"/>
                        <w:lang w:val="en-GB"/>
                      </w:rPr>
                      <w:t>c</w:t>
                    </w:r>
                    <w:r w:rsidRPr="003801B3">
                      <w:rPr>
                        <w:rFonts w:ascii="Calibri" w:eastAsia="Calibri" w:hAnsi="Calibri" w:cs="Calibri"/>
                        <w:sz w:val="24"/>
                        <w:szCs w:val="24"/>
                        <w:lang w:val="en-GB"/>
                      </w:rPr>
                      <w:t>o</w:t>
                    </w:r>
                    <w:r w:rsidRPr="003801B3">
                      <w:rPr>
                        <w:rFonts w:ascii="Calibri" w:eastAsia="Calibri" w:hAnsi="Calibri" w:cs="Calibri"/>
                        <w:spacing w:val="-3"/>
                        <w:sz w:val="24"/>
                        <w:szCs w:val="24"/>
                        <w:lang w:val="en-GB"/>
                      </w:rPr>
                      <w:t xml:space="preserve"> </w:t>
                    </w:r>
                    <w:r w:rsidRPr="003801B3">
                      <w:rPr>
                        <w:rFonts w:ascii="Calibri" w:eastAsia="Calibri" w:hAnsi="Calibri" w:cs="Calibri"/>
                        <w:sz w:val="24"/>
                        <w:szCs w:val="24"/>
                        <w:lang w:val="en-GB"/>
                      </w:rPr>
                      <w:t>–</w:t>
                    </w:r>
                    <w:r w:rsidRPr="003801B3">
                      <w:rPr>
                        <w:rFonts w:ascii="Calibri" w:eastAsia="Calibri" w:hAnsi="Calibri" w:cs="Calibri"/>
                        <w:spacing w:val="-2"/>
                        <w:sz w:val="24"/>
                        <w:szCs w:val="24"/>
                        <w:lang w:val="en-GB"/>
                      </w:rPr>
                      <w:t xml:space="preserve"> </w:t>
                    </w:r>
                    <w:r w:rsidRPr="003801B3">
                      <w:rPr>
                        <w:rFonts w:ascii="Calibri" w:eastAsia="Calibri" w:hAnsi="Calibri" w:cs="Calibri"/>
                        <w:i/>
                        <w:sz w:val="24"/>
                        <w:szCs w:val="24"/>
                        <w:lang w:val="en-GB"/>
                      </w:rPr>
                      <w:t>P</w:t>
                    </w:r>
                    <w:r w:rsidRPr="003801B3">
                      <w:rPr>
                        <w:rFonts w:ascii="Calibri" w:eastAsia="Calibri" w:hAnsi="Calibri" w:cs="Calibri"/>
                        <w:i/>
                        <w:spacing w:val="-1"/>
                        <w:sz w:val="24"/>
                        <w:szCs w:val="24"/>
                        <w:lang w:val="en-GB"/>
                      </w:rPr>
                      <w:t>o</w:t>
                    </w:r>
                    <w:r w:rsidRPr="003801B3">
                      <w:rPr>
                        <w:rFonts w:ascii="Calibri" w:eastAsia="Calibri" w:hAnsi="Calibri" w:cs="Calibri"/>
                        <w:i/>
                        <w:sz w:val="24"/>
                        <w:szCs w:val="24"/>
                        <w:lang w:val="en-GB"/>
                      </w:rPr>
                      <w:t>s</w:t>
                    </w:r>
                    <w:r w:rsidRPr="003801B3">
                      <w:rPr>
                        <w:rFonts w:ascii="Calibri" w:eastAsia="Calibri" w:hAnsi="Calibri" w:cs="Calibri"/>
                        <w:i/>
                        <w:spacing w:val="-3"/>
                        <w:sz w:val="24"/>
                        <w:szCs w:val="24"/>
                        <w:lang w:val="en-GB"/>
                      </w:rPr>
                      <w:t>i</w:t>
                    </w:r>
                    <w:r w:rsidRPr="003801B3">
                      <w:rPr>
                        <w:rFonts w:ascii="Calibri" w:eastAsia="Calibri" w:hAnsi="Calibri" w:cs="Calibri"/>
                        <w:i/>
                        <w:spacing w:val="1"/>
                        <w:sz w:val="24"/>
                        <w:szCs w:val="24"/>
                        <w:lang w:val="en-GB"/>
                      </w:rPr>
                      <w:t>t</w:t>
                    </w:r>
                    <w:r w:rsidRPr="003801B3">
                      <w:rPr>
                        <w:rFonts w:ascii="Calibri" w:eastAsia="Calibri" w:hAnsi="Calibri" w:cs="Calibri"/>
                        <w:i/>
                        <w:sz w:val="24"/>
                        <w:szCs w:val="24"/>
                        <w:lang w:val="en-GB"/>
                      </w:rPr>
                      <w:t>i</w:t>
                    </w:r>
                    <w:r w:rsidRPr="003801B3">
                      <w:rPr>
                        <w:rFonts w:ascii="Calibri" w:eastAsia="Calibri" w:hAnsi="Calibri" w:cs="Calibri"/>
                        <w:i/>
                        <w:spacing w:val="-1"/>
                        <w:sz w:val="24"/>
                        <w:szCs w:val="24"/>
                        <w:lang w:val="en-GB"/>
                      </w:rPr>
                      <w:t>o</w:t>
                    </w:r>
                    <w:r w:rsidRPr="003801B3">
                      <w:rPr>
                        <w:rFonts w:ascii="Calibri" w:eastAsia="Calibri" w:hAnsi="Calibri" w:cs="Calibri"/>
                        <w:i/>
                        <w:sz w:val="24"/>
                        <w:szCs w:val="24"/>
                        <w:lang w:val="en-GB"/>
                      </w:rPr>
                      <w:t>n</w:t>
                    </w:r>
                    <w:r w:rsidRPr="003801B3">
                      <w:rPr>
                        <w:rFonts w:ascii="Calibri" w:eastAsia="Calibri" w:hAnsi="Calibri" w:cs="Calibri"/>
                        <w:i/>
                        <w:spacing w:val="-4"/>
                        <w:sz w:val="24"/>
                        <w:szCs w:val="24"/>
                        <w:lang w:val="en-GB"/>
                      </w:rPr>
                      <w:t xml:space="preserve"> </w:t>
                    </w:r>
                    <w:r w:rsidRPr="003801B3">
                      <w:rPr>
                        <w:rFonts w:ascii="Calibri" w:eastAsia="Calibri" w:hAnsi="Calibri" w:cs="Calibri"/>
                        <w:i/>
                        <w:sz w:val="24"/>
                        <w:szCs w:val="24"/>
                        <w:lang w:val="en-GB"/>
                      </w:rPr>
                      <w:t>P</w:t>
                    </w:r>
                    <w:r w:rsidRPr="003801B3">
                      <w:rPr>
                        <w:rFonts w:ascii="Calibri" w:eastAsia="Calibri" w:hAnsi="Calibri" w:cs="Calibri"/>
                        <w:i/>
                        <w:spacing w:val="-1"/>
                        <w:sz w:val="24"/>
                        <w:szCs w:val="24"/>
                        <w:lang w:val="en-GB"/>
                      </w:rPr>
                      <w:t>ap</w:t>
                    </w:r>
                    <w:r w:rsidRPr="003801B3">
                      <w:rPr>
                        <w:rFonts w:ascii="Calibri" w:eastAsia="Calibri" w:hAnsi="Calibri" w:cs="Calibri"/>
                        <w:i/>
                        <w:sz w:val="24"/>
                        <w:szCs w:val="24"/>
                        <w:lang w:val="en-GB"/>
                      </w:rPr>
                      <w:t>er</w:t>
                    </w:r>
                    <w:r w:rsidRPr="003801B3">
                      <w:rPr>
                        <w:rFonts w:ascii="Calibri" w:eastAsia="Calibri" w:hAnsi="Calibri" w:cs="Calibri"/>
                        <w:i/>
                        <w:spacing w:val="-4"/>
                        <w:sz w:val="24"/>
                        <w:szCs w:val="24"/>
                        <w:lang w:val="en-GB"/>
                      </w:rPr>
                      <w:t xml:space="preserve"> </w:t>
                    </w:r>
                    <w:r w:rsidRPr="00FF7300">
                      <w:rPr>
                        <w:rFonts w:ascii="Calibri" w:eastAsia="Calibri" w:hAnsi="Calibri" w:cs="Calibri"/>
                        <w:i/>
                        <w:spacing w:val="-1"/>
                        <w:sz w:val="24"/>
                        <w:szCs w:val="24"/>
                        <w:lang w:val="en-GB"/>
                      </w:rPr>
                      <w:t>Biosimilar Medicinal Products</w:t>
                    </w:r>
                  </w:p>
                  <w:p w:rsidR="004F4F9D" w:rsidRPr="00504029" w:rsidRDefault="004F4F9D" w:rsidP="00504029">
                    <w:pPr>
                      <w:rPr>
                        <w:szCs w:val="24"/>
                      </w:rPr>
                    </w:pPr>
                  </w:p>
                </w:txbxContent>
              </v:textbox>
              <w10:wrap anchorx="page" anchory="page"/>
            </v:shape>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6713855</wp:posOffset>
              </wp:positionH>
              <wp:positionV relativeFrom="page">
                <wp:posOffset>9869805</wp:posOffset>
              </wp:positionV>
              <wp:extent cx="179070" cy="151765"/>
              <wp:effectExtent l="0" t="0" r="1143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F9D" w:rsidRPr="003801B3" w:rsidRDefault="00775AD0">
                          <w:pPr>
                            <w:spacing w:line="223" w:lineRule="exact"/>
                            <w:ind w:left="40"/>
                            <w:rPr>
                              <w:rFonts w:ascii="Calibri" w:eastAsia="Calibri" w:hAnsi="Calibri" w:cs="Calibri"/>
                              <w:sz w:val="20"/>
                              <w:szCs w:val="20"/>
                              <w:lang w:val="en-GB"/>
                            </w:rPr>
                          </w:pPr>
                          <w:r w:rsidRPr="003801B3">
                            <w:rPr>
                              <w:lang w:val="en-GB"/>
                            </w:rPr>
                            <w:fldChar w:fldCharType="begin"/>
                          </w:r>
                          <w:r w:rsidR="004F4F9D" w:rsidRPr="003801B3">
                            <w:rPr>
                              <w:rFonts w:ascii="Calibri" w:eastAsia="Calibri" w:hAnsi="Calibri" w:cs="Calibri"/>
                              <w:sz w:val="20"/>
                              <w:szCs w:val="20"/>
                              <w:lang w:val="en-GB"/>
                            </w:rPr>
                            <w:instrText xml:space="preserve"> PAGE </w:instrText>
                          </w:r>
                          <w:r w:rsidRPr="003801B3">
                            <w:rPr>
                              <w:lang w:val="en-GB"/>
                            </w:rPr>
                            <w:fldChar w:fldCharType="separate"/>
                          </w:r>
                          <w:r w:rsidR="00992741">
                            <w:rPr>
                              <w:rFonts w:ascii="Calibri" w:eastAsia="Calibri" w:hAnsi="Calibri" w:cs="Calibri"/>
                              <w:noProof/>
                              <w:sz w:val="20"/>
                              <w:szCs w:val="20"/>
                              <w:lang w:val="en-GB"/>
                            </w:rPr>
                            <w:t>13</w:t>
                          </w:r>
                          <w:r w:rsidRPr="003801B3">
                            <w:rPr>
                              <w:lang w:val="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528.65pt;margin-top:777.15pt;width:14.1pt;height:11.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" filled="f" stroked="f">
              <v:textbox inset="0,0,0,0">
                <w:txbxContent>
                  <w:p w:rsidR="004F4F9D" w:rsidRPr="003801B3" w:rsidRDefault="00775AD0">
                    <w:pPr>
                      <w:spacing w:line="223" w:lineRule="exact"/>
                      <w:ind w:left="40"/>
                      <w:rPr>
                        <w:rFonts w:ascii="Calibri" w:eastAsia="Calibri" w:hAnsi="Calibri" w:cs="Calibri"/>
                        <w:sz w:val="20"/>
                        <w:szCs w:val="20"/>
                        <w:lang w:val="en-GB"/>
                      </w:rPr>
                    </w:pPr>
                    <w:r w:rsidRPr="003801B3">
                      <w:rPr>
                        <w:lang w:val="en-GB"/>
                      </w:rPr>
                      <w:fldChar w:fldCharType="begin"/>
                    </w:r>
                    <w:r w:rsidR="004F4F9D" w:rsidRPr="003801B3">
                      <w:rPr>
                        <w:rFonts w:ascii="Calibri" w:eastAsia="Calibri" w:hAnsi="Calibri" w:cs="Calibri"/>
                        <w:sz w:val="20"/>
                        <w:szCs w:val="20"/>
                        <w:lang w:val="en-GB"/>
                      </w:rPr>
                      <w:instrText xml:space="preserve"> PAGE </w:instrText>
                    </w:r>
                    <w:r w:rsidRPr="003801B3">
                      <w:rPr>
                        <w:lang w:val="en-GB"/>
                      </w:rPr>
                      <w:fldChar w:fldCharType="separate"/>
                    </w:r>
                    <w:r w:rsidR="00992741">
                      <w:rPr>
                        <w:rFonts w:ascii="Calibri" w:eastAsia="Calibri" w:hAnsi="Calibri" w:cs="Calibri"/>
                        <w:noProof/>
                        <w:sz w:val="20"/>
                        <w:szCs w:val="20"/>
                        <w:lang w:val="en-GB"/>
                      </w:rPr>
                      <w:t>13</w:t>
                    </w:r>
                    <w:r w:rsidRPr="003801B3">
                      <w:rPr>
                        <w:lang w:val="en-G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85E" w:rsidRPr="003801B3" w:rsidRDefault="002F185E" w:rsidP="00D655CE">
      <w:pPr>
        <w:rPr>
          <w:lang w:val="en-GB"/>
        </w:rPr>
      </w:pPr>
      <w:r w:rsidRPr="003801B3">
        <w:rPr>
          <w:lang w:val="en-GB"/>
        </w:rPr>
        <w:separator/>
      </w:r>
    </w:p>
  </w:footnote>
  <w:footnote w:type="continuationSeparator" w:id="0">
    <w:p w:rsidR="002F185E" w:rsidRPr="003801B3" w:rsidRDefault="002F185E" w:rsidP="00D655CE">
      <w:pPr>
        <w:rPr>
          <w:lang w:val="en-GB"/>
        </w:rPr>
      </w:pPr>
      <w:r w:rsidRPr="003801B3">
        <w:rPr>
          <w:lang w:val="en-GB"/>
        </w:rPr>
        <w:continuationSeparator/>
      </w:r>
    </w:p>
  </w:footnote>
  <w:footnote w:id="1">
    <w:p w:rsidR="00617EFD" w:rsidRPr="00A41424" w:rsidRDefault="00617EFD">
      <w:pPr>
        <w:pStyle w:val="FootnoteText"/>
        <w:rPr>
          <w:rFonts w:ascii="Calibri" w:hAnsi="Calibri"/>
          <w:sz w:val="18"/>
          <w:szCs w:val="18"/>
          <w:lang w:val="it-IT"/>
        </w:rPr>
      </w:pPr>
      <w:r>
        <w:rPr>
          <w:rStyle w:val="FootnoteReference"/>
        </w:rPr>
        <w:footnoteRef/>
      </w:r>
      <w:r>
        <w:t xml:space="preserve"> </w:t>
      </w:r>
      <w:r w:rsidRPr="00A41424">
        <w:rPr>
          <w:rFonts w:ascii="Calibri" w:eastAsia="Calibri" w:hAnsi="Calibri" w:cs="Calibri"/>
          <w:sz w:val="18"/>
          <w:szCs w:val="18"/>
        </w:rPr>
        <w:t>Directive 2003/63/EC and Directive 2004/27/EC</w:t>
      </w:r>
    </w:p>
  </w:footnote>
  <w:footnote w:id="2">
    <w:p w:rsidR="00617EFD" w:rsidRPr="005340BA" w:rsidRDefault="00617EFD">
      <w:pPr>
        <w:pStyle w:val="FootnoteText"/>
        <w:rPr>
          <w:lang w:val="it-IT"/>
        </w:rPr>
      </w:pPr>
      <w:r w:rsidRPr="00A41424">
        <w:rPr>
          <w:rStyle w:val="FootnoteReference"/>
          <w:rFonts w:ascii="Calibri" w:hAnsi="Calibri"/>
          <w:sz w:val="18"/>
          <w:szCs w:val="18"/>
        </w:rPr>
        <w:footnoteRef/>
      </w:r>
      <w:r w:rsidRPr="00A41424">
        <w:rPr>
          <w:rFonts w:ascii="Calibri" w:hAnsi="Calibri"/>
          <w:sz w:val="18"/>
          <w:szCs w:val="18"/>
        </w:rPr>
        <w:t xml:space="preserve"> </w:t>
      </w:r>
      <w:r w:rsidRPr="00A41424">
        <w:rPr>
          <w:rFonts w:ascii="Calibri" w:eastAsia="Calibri" w:hAnsi="Calibri" w:cs="Calibri"/>
          <w:sz w:val="18"/>
          <w:szCs w:val="18"/>
        </w:rPr>
        <w:t>EMA/940451/2001 “EMA Procedural advice for users of the Centralised Procedure for Similar Biological Medicinal Products applications”</w:t>
      </w:r>
    </w:p>
  </w:footnote>
  <w:footnote w:id="3">
    <w:p w:rsidR="00617EFD" w:rsidRPr="007D515F" w:rsidRDefault="00617EFD" w:rsidP="007D515F">
      <w:pPr>
        <w:pStyle w:val="FootnoteText"/>
        <w:jc w:val="both"/>
        <w:rPr>
          <w:sz w:val="16"/>
          <w:szCs w:val="16"/>
          <w:lang w:val="it-IT"/>
        </w:rPr>
      </w:pPr>
      <w:r w:rsidRPr="007D515F">
        <w:rPr>
          <w:rStyle w:val="FootnoteReference"/>
          <w:sz w:val="16"/>
          <w:szCs w:val="16"/>
        </w:rPr>
        <w:footnoteRef/>
      </w:r>
      <w:r w:rsidRPr="007D515F">
        <w:rPr>
          <w:sz w:val="16"/>
          <w:szCs w:val="16"/>
        </w:rPr>
        <w:t xml:space="preserve"> </w:t>
      </w:r>
      <w:r w:rsidRPr="007D515F">
        <w:rPr>
          <w:rFonts w:eastAsia="Calibri" w:cs="Calibri"/>
          <w:sz w:val="16"/>
          <w:szCs w:val="16"/>
        </w:rPr>
        <w:t>The determination of the active principle or INN (International Non Proprietary Name) is evaluated and registered by the World Health Organization (WHO) followed by the submission of an application by part of the medicinal product's manufacturer. As regards biological and new technological medicinal products, WHO has adopted a denomination system produced by an ad hoc committee of WHO experts (INN Expert Group). In particular, the WHO guidelines allow the manufacture of a biosimilar product to propose a different INN with respect to the reference biological medicinal product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062F"/>
    <w:multiLevelType w:val="hybridMultilevel"/>
    <w:tmpl w:val="BD44832A"/>
    <w:lvl w:ilvl="0" w:tplc="5D9E0834">
      <w:start w:val="1"/>
      <w:numFmt w:val="decimal"/>
      <w:lvlText w:val="%1"/>
      <w:lvlJc w:val="left"/>
      <w:pPr>
        <w:ind w:hanging="94"/>
        <w:jc w:val="left"/>
      </w:pPr>
      <w:rPr>
        <w:rFonts w:ascii="Calibri" w:eastAsia="Calibri" w:hAnsi="Calibri" w:hint="default"/>
        <w:w w:val="99"/>
        <w:position w:val="10"/>
        <w:sz w:val="13"/>
        <w:szCs w:val="13"/>
      </w:rPr>
    </w:lvl>
    <w:lvl w:ilvl="1" w:tplc="FA5C3094">
      <w:start w:val="1"/>
      <w:numFmt w:val="bullet"/>
      <w:lvlText w:val="•"/>
      <w:lvlJc w:val="left"/>
      <w:rPr>
        <w:rFonts w:hint="default"/>
      </w:rPr>
    </w:lvl>
    <w:lvl w:ilvl="2" w:tplc="1DAA4D6C">
      <w:start w:val="1"/>
      <w:numFmt w:val="bullet"/>
      <w:lvlText w:val="•"/>
      <w:lvlJc w:val="left"/>
      <w:rPr>
        <w:rFonts w:hint="default"/>
      </w:rPr>
    </w:lvl>
    <w:lvl w:ilvl="3" w:tplc="7CE83E6C">
      <w:start w:val="1"/>
      <w:numFmt w:val="bullet"/>
      <w:lvlText w:val="•"/>
      <w:lvlJc w:val="left"/>
      <w:rPr>
        <w:rFonts w:hint="default"/>
      </w:rPr>
    </w:lvl>
    <w:lvl w:ilvl="4" w:tplc="010227A0">
      <w:start w:val="1"/>
      <w:numFmt w:val="bullet"/>
      <w:lvlText w:val="•"/>
      <w:lvlJc w:val="left"/>
      <w:rPr>
        <w:rFonts w:hint="default"/>
      </w:rPr>
    </w:lvl>
    <w:lvl w:ilvl="5" w:tplc="883CDB72">
      <w:start w:val="1"/>
      <w:numFmt w:val="bullet"/>
      <w:lvlText w:val="•"/>
      <w:lvlJc w:val="left"/>
      <w:rPr>
        <w:rFonts w:hint="default"/>
      </w:rPr>
    </w:lvl>
    <w:lvl w:ilvl="6" w:tplc="28B4F482">
      <w:start w:val="1"/>
      <w:numFmt w:val="bullet"/>
      <w:lvlText w:val="•"/>
      <w:lvlJc w:val="left"/>
      <w:rPr>
        <w:rFonts w:hint="default"/>
      </w:rPr>
    </w:lvl>
    <w:lvl w:ilvl="7" w:tplc="AA120566">
      <w:start w:val="1"/>
      <w:numFmt w:val="bullet"/>
      <w:lvlText w:val="•"/>
      <w:lvlJc w:val="left"/>
      <w:rPr>
        <w:rFonts w:hint="default"/>
      </w:rPr>
    </w:lvl>
    <w:lvl w:ilvl="8" w:tplc="8F7C21EC">
      <w:start w:val="1"/>
      <w:numFmt w:val="bullet"/>
      <w:lvlText w:val="•"/>
      <w:lvlJc w:val="left"/>
      <w:rPr>
        <w:rFonts w:hint="default"/>
      </w:rPr>
    </w:lvl>
  </w:abstractNum>
  <w:abstractNum w:abstractNumId="1">
    <w:nsid w:val="33155F69"/>
    <w:multiLevelType w:val="hybridMultilevel"/>
    <w:tmpl w:val="C20E0D0A"/>
    <w:lvl w:ilvl="0" w:tplc="A8E2620C">
      <w:start w:val="1"/>
      <w:numFmt w:val="bullet"/>
      <w:lvlText w:val="•"/>
      <w:lvlJc w:val="left"/>
      <w:pPr>
        <w:ind w:hanging="348"/>
      </w:pPr>
      <w:rPr>
        <w:rFonts w:ascii="Arial" w:eastAsia="Arial" w:hAnsi="Arial" w:hint="default"/>
        <w:w w:val="131"/>
        <w:sz w:val="24"/>
        <w:szCs w:val="24"/>
      </w:rPr>
    </w:lvl>
    <w:lvl w:ilvl="1" w:tplc="BFA23062">
      <w:start w:val="1"/>
      <w:numFmt w:val="bullet"/>
      <w:lvlText w:val="•"/>
      <w:lvlJc w:val="left"/>
      <w:rPr>
        <w:rFonts w:hint="default"/>
      </w:rPr>
    </w:lvl>
    <w:lvl w:ilvl="2" w:tplc="ABD214A4">
      <w:start w:val="1"/>
      <w:numFmt w:val="bullet"/>
      <w:lvlText w:val="•"/>
      <w:lvlJc w:val="left"/>
      <w:rPr>
        <w:rFonts w:hint="default"/>
      </w:rPr>
    </w:lvl>
    <w:lvl w:ilvl="3" w:tplc="4FEEED54">
      <w:start w:val="1"/>
      <w:numFmt w:val="bullet"/>
      <w:lvlText w:val="•"/>
      <w:lvlJc w:val="left"/>
      <w:rPr>
        <w:rFonts w:hint="default"/>
      </w:rPr>
    </w:lvl>
    <w:lvl w:ilvl="4" w:tplc="5144F0F4">
      <w:start w:val="1"/>
      <w:numFmt w:val="bullet"/>
      <w:lvlText w:val="•"/>
      <w:lvlJc w:val="left"/>
      <w:rPr>
        <w:rFonts w:hint="default"/>
      </w:rPr>
    </w:lvl>
    <w:lvl w:ilvl="5" w:tplc="675A6228">
      <w:start w:val="1"/>
      <w:numFmt w:val="bullet"/>
      <w:lvlText w:val="•"/>
      <w:lvlJc w:val="left"/>
      <w:rPr>
        <w:rFonts w:hint="default"/>
      </w:rPr>
    </w:lvl>
    <w:lvl w:ilvl="6" w:tplc="04A6D26A">
      <w:start w:val="1"/>
      <w:numFmt w:val="bullet"/>
      <w:lvlText w:val="•"/>
      <w:lvlJc w:val="left"/>
      <w:rPr>
        <w:rFonts w:hint="default"/>
      </w:rPr>
    </w:lvl>
    <w:lvl w:ilvl="7" w:tplc="B5F286E8">
      <w:start w:val="1"/>
      <w:numFmt w:val="bullet"/>
      <w:lvlText w:val="•"/>
      <w:lvlJc w:val="left"/>
      <w:rPr>
        <w:rFonts w:hint="default"/>
      </w:rPr>
    </w:lvl>
    <w:lvl w:ilvl="8" w:tplc="02CA5310">
      <w:start w:val="1"/>
      <w:numFmt w:val="bullet"/>
      <w:lvlText w:val="•"/>
      <w:lvlJc w:val="left"/>
      <w:rPr>
        <w:rFonts w:hint="default"/>
      </w:rPr>
    </w:lvl>
  </w:abstractNum>
  <w:abstractNum w:abstractNumId="2">
    <w:nsid w:val="692A30E2"/>
    <w:multiLevelType w:val="hybridMultilevel"/>
    <w:tmpl w:val="15329916"/>
    <w:lvl w:ilvl="0" w:tplc="7FD458EA">
      <w:start w:val="1"/>
      <w:numFmt w:val="bullet"/>
      <w:lvlText w:val=""/>
      <w:lvlJc w:val="left"/>
      <w:pPr>
        <w:ind w:hanging="360"/>
      </w:pPr>
      <w:rPr>
        <w:rFonts w:ascii="Wingdings" w:eastAsia="Wingdings" w:hAnsi="Wingdings" w:hint="default"/>
        <w:sz w:val="24"/>
        <w:szCs w:val="24"/>
      </w:rPr>
    </w:lvl>
    <w:lvl w:ilvl="1" w:tplc="6CE65286">
      <w:start w:val="1"/>
      <w:numFmt w:val="bullet"/>
      <w:lvlText w:val="•"/>
      <w:lvlJc w:val="left"/>
      <w:rPr>
        <w:rFonts w:hint="default"/>
      </w:rPr>
    </w:lvl>
    <w:lvl w:ilvl="2" w:tplc="5D4A7B5E">
      <w:start w:val="1"/>
      <w:numFmt w:val="bullet"/>
      <w:lvlText w:val="•"/>
      <w:lvlJc w:val="left"/>
      <w:rPr>
        <w:rFonts w:hint="default"/>
      </w:rPr>
    </w:lvl>
    <w:lvl w:ilvl="3" w:tplc="3DF688DE">
      <w:start w:val="1"/>
      <w:numFmt w:val="bullet"/>
      <w:lvlText w:val="•"/>
      <w:lvlJc w:val="left"/>
      <w:rPr>
        <w:rFonts w:hint="default"/>
      </w:rPr>
    </w:lvl>
    <w:lvl w:ilvl="4" w:tplc="258246FC">
      <w:start w:val="1"/>
      <w:numFmt w:val="bullet"/>
      <w:lvlText w:val="•"/>
      <w:lvlJc w:val="left"/>
      <w:rPr>
        <w:rFonts w:hint="default"/>
      </w:rPr>
    </w:lvl>
    <w:lvl w:ilvl="5" w:tplc="C0806744">
      <w:start w:val="1"/>
      <w:numFmt w:val="bullet"/>
      <w:lvlText w:val="•"/>
      <w:lvlJc w:val="left"/>
      <w:rPr>
        <w:rFonts w:hint="default"/>
      </w:rPr>
    </w:lvl>
    <w:lvl w:ilvl="6" w:tplc="279ACC7A">
      <w:start w:val="1"/>
      <w:numFmt w:val="bullet"/>
      <w:lvlText w:val="•"/>
      <w:lvlJc w:val="left"/>
      <w:rPr>
        <w:rFonts w:hint="default"/>
      </w:rPr>
    </w:lvl>
    <w:lvl w:ilvl="7" w:tplc="FB7EDBBE">
      <w:start w:val="1"/>
      <w:numFmt w:val="bullet"/>
      <w:lvlText w:val="•"/>
      <w:lvlJc w:val="left"/>
      <w:rPr>
        <w:rFonts w:hint="default"/>
      </w:rPr>
    </w:lvl>
    <w:lvl w:ilvl="8" w:tplc="8C8A03FC">
      <w:start w:val="1"/>
      <w:numFmt w:val="bullet"/>
      <w:lvlText w:val="•"/>
      <w:lvlJc w:val="left"/>
      <w:rPr>
        <w:rFonts w:hint="default"/>
      </w:rPr>
    </w:lvl>
  </w:abstractNum>
  <w:abstractNum w:abstractNumId="3">
    <w:nsid w:val="71AA44BE"/>
    <w:multiLevelType w:val="hybridMultilevel"/>
    <w:tmpl w:val="F08A86D6"/>
    <w:lvl w:ilvl="0" w:tplc="5240E6B2">
      <w:start w:val="1"/>
      <w:numFmt w:val="bullet"/>
      <w:lvlText w:val=""/>
      <w:lvlJc w:val="left"/>
      <w:pPr>
        <w:ind w:hanging="360"/>
      </w:pPr>
      <w:rPr>
        <w:rFonts w:ascii="Wingdings" w:eastAsia="Wingdings" w:hAnsi="Wingdings" w:hint="default"/>
        <w:sz w:val="24"/>
        <w:szCs w:val="24"/>
      </w:rPr>
    </w:lvl>
    <w:lvl w:ilvl="1" w:tplc="F76C6D10">
      <w:start w:val="1"/>
      <w:numFmt w:val="bullet"/>
      <w:lvlText w:val="•"/>
      <w:lvlJc w:val="left"/>
      <w:rPr>
        <w:rFonts w:hint="default"/>
      </w:rPr>
    </w:lvl>
    <w:lvl w:ilvl="2" w:tplc="9EEA1E8A">
      <w:start w:val="1"/>
      <w:numFmt w:val="bullet"/>
      <w:lvlText w:val="•"/>
      <w:lvlJc w:val="left"/>
      <w:rPr>
        <w:rFonts w:hint="default"/>
      </w:rPr>
    </w:lvl>
    <w:lvl w:ilvl="3" w:tplc="F11A12FC">
      <w:start w:val="1"/>
      <w:numFmt w:val="bullet"/>
      <w:lvlText w:val="•"/>
      <w:lvlJc w:val="left"/>
      <w:rPr>
        <w:rFonts w:hint="default"/>
      </w:rPr>
    </w:lvl>
    <w:lvl w:ilvl="4" w:tplc="C80E5644">
      <w:start w:val="1"/>
      <w:numFmt w:val="bullet"/>
      <w:lvlText w:val="•"/>
      <w:lvlJc w:val="left"/>
      <w:rPr>
        <w:rFonts w:hint="default"/>
      </w:rPr>
    </w:lvl>
    <w:lvl w:ilvl="5" w:tplc="D75A531A">
      <w:start w:val="1"/>
      <w:numFmt w:val="bullet"/>
      <w:lvlText w:val="•"/>
      <w:lvlJc w:val="left"/>
      <w:rPr>
        <w:rFonts w:hint="default"/>
      </w:rPr>
    </w:lvl>
    <w:lvl w:ilvl="6" w:tplc="9CA28CEC">
      <w:start w:val="1"/>
      <w:numFmt w:val="bullet"/>
      <w:lvlText w:val="•"/>
      <w:lvlJc w:val="left"/>
      <w:rPr>
        <w:rFonts w:hint="default"/>
      </w:rPr>
    </w:lvl>
    <w:lvl w:ilvl="7" w:tplc="DC26444E">
      <w:start w:val="1"/>
      <w:numFmt w:val="bullet"/>
      <w:lvlText w:val="•"/>
      <w:lvlJc w:val="left"/>
      <w:rPr>
        <w:rFonts w:hint="default"/>
      </w:rPr>
    </w:lvl>
    <w:lvl w:ilvl="8" w:tplc="F1865524">
      <w:start w:val="1"/>
      <w:numFmt w:val="bullet"/>
      <w:lvlText w:val="•"/>
      <w:lvlJc w:val="left"/>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283"/>
  <w:doNotHyphenateCaps/>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FB8F418-937E-42C6-9099-1E667D93F513}"/>
    <w:docVar w:name="dgnword-eventsink" w:val="92533344"/>
  </w:docVars>
  <w:rsids>
    <w:rsidRoot w:val="00D655CE"/>
    <w:rsid w:val="0002552A"/>
    <w:rsid w:val="00041082"/>
    <w:rsid w:val="000934E2"/>
    <w:rsid w:val="000A67B0"/>
    <w:rsid w:val="000C30D3"/>
    <w:rsid w:val="00116BD0"/>
    <w:rsid w:val="001320F4"/>
    <w:rsid w:val="001C27FB"/>
    <w:rsid w:val="002654AE"/>
    <w:rsid w:val="00290EE2"/>
    <w:rsid w:val="00291EE6"/>
    <w:rsid w:val="002B2C44"/>
    <w:rsid w:val="002C7944"/>
    <w:rsid w:val="002F185E"/>
    <w:rsid w:val="003413E0"/>
    <w:rsid w:val="00351DA7"/>
    <w:rsid w:val="00373B33"/>
    <w:rsid w:val="003747BD"/>
    <w:rsid w:val="003801B3"/>
    <w:rsid w:val="003A0EC7"/>
    <w:rsid w:val="003A35ED"/>
    <w:rsid w:val="00457C52"/>
    <w:rsid w:val="00481555"/>
    <w:rsid w:val="004E3686"/>
    <w:rsid w:val="004F4F9D"/>
    <w:rsid w:val="00504029"/>
    <w:rsid w:val="005309C3"/>
    <w:rsid w:val="005340BA"/>
    <w:rsid w:val="005358BE"/>
    <w:rsid w:val="005F2299"/>
    <w:rsid w:val="00617EFD"/>
    <w:rsid w:val="00682EBB"/>
    <w:rsid w:val="006A779F"/>
    <w:rsid w:val="006F53B7"/>
    <w:rsid w:val="006F5D42"/>
    <w:rsid w:val="0071273E"/>
    <w:rsid w:val="00723D32"/>
    <w:rsid w:val="007705C1"/>
    <w:rsid w:val="00775AD0"/>
    <w:rsid w:val="007763CF"/>
    <w:rsid w:val="007B4995"/>
    <w:rsid w:val="007D515F"/>
    <w:rsid w:val="007E0EC9"/>
    <w:rsid w:val="00847C1D"/>
    <w:rsid w:val="00861C5F"/>
    <w:rsid w:val="008A3341"/>
    <w:rsid w:val="008A76C4"/>
    <w:rsid w:val="008C28A8"/>
    <w:rsid w:val="008D1AB4"/>
    <w:rsid w:val="008E1AA1"/>
    <w:rsid w:val="008F5756"/>
    <w:rsid w:val="009019B4"/>
    <w:rsid w:val="0092765B"/>
    <w:rsid w:val="00933BCB"/>
    <w:rsid w:val="00941A49"/>
    <w:rsid w:val="00960C12"/>
    <w:rsid w:val="00967F57"/>
    <w:rsid w:val="009865C6"/>
    <w:rsid w:val="00992741"/>
    <w:rsid w:val="009D0095"/>
    <w:rsid w:val="00A41424"/>
    <w:rsid w:val="00A4372F"/>
    <w:rsid w:val="00A54A1B"/>
    <w:rsid w:val="00AA22AE"/>
    <w:rsid w:val="00AA4B19"/>
    <w:rsid w:val="00AB2D0B"/>
    <w:rsid w:val="00B63400"/>
    <w:rsid w:val="00B728CF"/>
    <w:rsid w:val="00BA1D68"/>
    <w:rsid w:val="00BD040B"/>
    <w:rsid w:val="00C037E1"/>
    <w:rsid w:val="00C20939"/>
    <w:rsid w:val="00C70E11"/>
    <w:rsid w:val="00CC698A"/>
    <w:rsid w:val="00CD3055"/>
    <w:rsid w:val="00D024B0"/>
    <w:rsid w:val="00D06AB4"/>
    <w:rsid w:val="00D133EF"/>
    <w:rsid w:val="00D148C8"/>
    <w:rsid w:val="00D20D59"/>
    <w:rsid w:val="00D22B52"/>
    <w:rsid w:val="00D655CE"/>
    <w:rsid w:val="00DE2A9E"/>
    <w:rsid w:val="00E52149"/>
    <w:rsid w:val="00E64FEE"/>
    <w:rsid w:val="00ED36E2"/>
    <w:rsid w:val="00F33820"/>
    <w:rsid w:val="00F708A2"/>
    <w:rsid w:val="00F90D51"/>
    <w:rsid w:val="00F915A2"/>
    <w:rsid w:val="00F921F1"/>
    <w:rsid w:val="00FB7A5F"/>
    <w:rsid w:val="00FC2D31"/>
    <w:rsid w:val="00FF7300"/>
  </w:rsids>
  <m:mathPr>
    <m:mathFont m:val="Cambria Math"/>
    <m:brkBin m:val="before"/>
    <m:brkBinSub m:val="--"/>
    <m:smallFrac m:val="0"/>
    <m:dispDef/>
    <m:lMargin m:val="0"/>
    <m:rMargin m:val="0"/>
    <m:defJc m:val="centerGroup"/>
    <m:wrapIndent m:val="1440"/>
    <m:intLim m:val="subSup"/>
    <m:naryLim m:val="undOvr"/>
  </m:mathPr>
  <w:themeFontLang w:val="nl-BE"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55CE"/>
  </w:style>
  <w:style w:type="paragraph" w:styleId="Heading1">
    <w:name w:val="heading 1"/>
    <w:basedOn w:val="Normal"/>
    <w:uiPriority w:val="1"/>
    <w:qFormat/>
    <w:rsid w:val="00D655CE"/>
    <w:pPr>
      <w:ind w:left="112"/>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655CE"/>
    <w:pPr>
      <w:ind w:left="112"/>
    </w:pPr>
    <w:rPr>
      <w:rFonts w:ascii="Calibri" w:eastAsia="Calibri" w:hAnsi="Calibri"/>
      <w:sz w:val="24"/>
      <w:szCs w:val="24"/>
    </w:rPr>
  </w:style>
  <w:style w:type="paragraph" w:styleId="ListParagraph">
    <w:name w:val="List Paragraph"/>
    <w:basedOn w:val="Normal"/>
    <w:uiPriority w:val="1"/>
    <w:qFormat/>
    <w:rsid w:val="00D655CE"/>
  </w:style>
  <w:style w:type="paragraph" w:customStyle="1" w:styleId="TableParagraph">
    <w:name w:val="Table Paragraph"/>
    <w:basedOn w:val="Normal"/>
    <w:uiPriority w:val="1"/>
    <w:qFormat/>
    <w:rsid w:val="00D655CE"/>
  </w:style>
  <w:style w:type="paragraph" w:styleId="Header">
    <w:name w:val="header"/>
    <w:basedOn w:val="Normal"/>
    <w:link w:val="HeaderChar"/>
    <w:uiPriority w:val="99"/>
    <w:unhideWhenUsed/>
    <w:rsid w:val="007B4995"/>
    <w:pPr>
      <w:tabs>
        <w:tab w:val="center" w:pos="4819"/>
        <w:tab w:val="right" w:pos="9638"/>
      </w:tabs>
    </w:pPr>
  </w:style>
  <w:style w:type="character" w:customStyle="1" w:styleId="HeaderChar">
    <w:name w:val="Header Char"/>
    <w:basedOn w:val="DefaultParagraphFont"/>
    <w:link w:val="Header"/>
    <w:uiPriority w:val="99"/>
    <w:rsid w:val="007B4995"/>
  </w:style>
  <w:style w:type="paragraph" w:styleId="Footer">
    <w:name w:val="footer"/>
    <w:basedOn w:val="Normal"/>
    <w:link w:val="FooterChar"/>
    <w:uiPriority w:val="99"/>
    <w:unhideWhenUsed/>
    <w:rsid w:val="007B4995"/>
    <w:pPr>
      <w:tabs>
        <w:tab w:val="center" w:pos="4819"/>
        <w:tab w:val="right" w:pos="9638"/>
      </w:tabs>
    </w:pPr>
  </w:style>
  <w:style w:type="character" w:customStyle="1" w:styleId="FooterChar">
    <w:name w:val="Footer Char"/>
    <w:basedOn w:val="DefaultParagraphFont"/>
    <w:link w:val="Footer"/>
    <w:uiPriority w:val="99"/>
    <w:rsid w:val="007B4995"/>
  </w:style>
  <w:style w:type="paragraph" w:styleId="BalloonText">
    <w:name w:val="Balloon Text"/>
    <w:basedOn w:val="Normal"/>
    <w:link w:val="BalloonTextChar"/>
    <w:uiPriority w:val="99"/>
    <w:semiHidden/>
    <w:unhideWhenUsed/>
    <w:rsid w:val="003801B3"/>
    <w:rPr>
      <w:rFonts w:ascii="Tahoma" w:hAnsi="Tahoma" w:cs="Tahoma"/>
      <w:sz w:val="16"/>
      <w:szCs w:val="16"/>
    </w:rPr>
  </w:style>
  <w:style w:type="character" w:customStyle="1" w:styleId="BalloonTextChar">
    <w:name w:val="Balloon Text Char"/>
    <w:basedOn w:val="DefaultParagraphFont"/>
    <w:link w:val="BalloonText"/>
    <w:uiPriority w:val="99"/>
    <w:semiHidden/>
    <w:rsid w:val="003801B3"/>
    <w:rPr>
      <w:rFonts w:ascii="Tahoma" w:hAnsi="Tahoma" w:cs="Tahoma"/>
      <w:sz w:val="16"/>
      <w:szCs w:val="16"/>
    </w:rPr>
  </w:style>
  <w:style w:type="paragraph" w:styleId="FootnoteText">
    <w:name w:val="footnote text"/>
    <w:basedOn w:val="Normal"/>
    <w:link w:val="FootnoteTextChar"/>
    <w:uiPriority w:val="99"/>
    <w:unhideWhenUsed/>
    <w:rsid w:val="005340BA"/>
    <w:rPr>
      <w:sz w:val="24"/>
      <w:szCs w:val="24"/>
    </w:rPr>
  </w:style>
  <w:style w:type="character" w:customStyle="1" w:styleId="FootnoteTextChar">
    <w:name w:val="Footnote Text Char"/>
    <w:basedOn w:val="DefaultParagraphFont"/>
    <w:link w:val="FootnoteText"/>
    <w:uiPriority w:val="99"/>
    <w:rsid w:val="005340BA"/>
    <w:rPr>
      <w:sz w:val="24"/>
      <w:szCs w:val="24"/>
    </w:rPr>
  </w:style>
  <w:style w:type="character" w:styleId="FootnoteReference">
    <w:name w:val="footnote reference"/>
    <w:basedOn w:val="DefaultParagraphFont"/>
    <w:uiPriority w:val="99"/>
    <w:unhideWhenUsed/>
    <w:rsid w:val="005340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55CE"/>
  </w:style>
  <w:style w:type="paragraph" w:styleId="Heading1">
    <w:name w:val="heading 1"/>
    <w:basedOn w:val="Normal"/>
    <w:uiPriority w:val="1"/>
    <w:qFormat/>
    <w:rsid w:val="00D655CE"/>
    <w:pPr>
      <w:ind w:left="112"/>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655CE"/>
    <w:pPr>
      <w:ind w:left="112"/>
    </w:pPr>
    <w:rPr>
      <w:rFonts w:ascii="Calibri" w:eastAsia="Calibri" w:hAnsi="Calibri"/>
      <w:sz w:val="24"/>
      <w:szCs w:val="24"/>
    </w:rPr>
  </w:style>
  <w:style w:type="paragraph" w:styleId="ListParagraph">
    <w:name w:val="List Paragraph"/>
    <w:basedOn w:val="Normal"/>
    <w:uiPriority w:val="1"/>
    <w:qFormat/>
    <w:rsid w:val="00D655CE"/>
  </w:style>
  <w:style w:type="paragraph" w:customStyle="1" w:styleId="TableParagraph">
    <w:name w:val="Table Paragraph"/>
    <w:basedOn w:val="Normal"/>
    <w:uiPriority w:val="1"/>
    <w:qFormat/>
    <w:rsid w:val="00D655CE"/>
  </w:style>
  <w:style w:type="paragraph" w:styleId="Header">
    <w:name w:val="header"/>
    <w:basedOn w:val="Normal"/>
    <w:link w:val="HeaderChar"/>
    <w:uiPriority w:val="99"/>
    <w:unhideWhenUsed/>
    <w:rsid w:val="007B4995"/>
    <w:pPr>
      <w:tabs>
        <w:tab w:val="center" w:pos="4819"/>
        <w:tab w:val="right" w:pos="9638"/>
      </w:tabs>
    </w:pPr>
  </w:style>
  <w:style w:type="character" w:customStyle="1" w:styleId="HeaderChar">
    <w:name w:val="Header Char"/>
    <w:basedOn w:val="DefaultParagraphFont"/>
    <w:link w:val="Header"/>
    <w:uiPriority w:val="99"/>
    <w:rsid w:val="007B4995"/>
  </w:style>
  <w:style w:type="paragraph" w:styleId="Footer">
    <w:name w:val="footer"/>
    <w:basedOn w:val="Normal"/>
    <w:link w:val="FooterChar"/>
    <w:uiPriority w:val="99"/>
    <w:unhideWhenUsed/>
    <w:rsid w:val="007B4995"/>
    <w:pPr>
      <w:tabs>
        <w:tab w:val="center" w:pos="4819"/>
        <w:tab w:val="right" w:pos="9638"/>
      </w:tabs>
    </w:pPr>
  </w:style>
  <w:style w:type="character" w:customStyle="1" w:styleId="FooterChar">
    <w:name w:val="Footer Char"/>
    <w:basedOn w:val="DefaultParagraphFont"/>
    <w:link w:val="Footer"/>
    <w:uiPriority w:val="99"/>
    <w:rsid w:val="007B4995"/>
  </w:style>
  <w:style w:type="paragraph" w:styleId="BalloonText">
    <w:name w:val="Balloon Text"/>
    <w:basedOn w:val="Normal"/>
    <w:link w:val="BalloonTextChar"/>
    <w:uiPriority w:val="99"/>
    <w:semiHidden/>
    <w:unhideWhenUsed/>
    <w:rsid w:val="003801B3"/>
    <w:rPr>
      <w:rFonts w:ascii="Tahoma" w:hAnsi="Tahoma" w:cs="Tahoma"/>
      <w:sz w:val="16"/>
      <w:szCs w:val="16"/>
    </w:rPr>
  </w:style>
  <w:style w:type="character" w:customStyle="1" w:styleId="BalloonTextChar">
    <w:name w:val="Balloon Text Char"/>
    <w:basedOn w:val="DefaultParagraphFont"/>
    <w:link w:val="BalloonText"/>
    <w:uiPriority w:val="99"/>
    <w:semiHidden/>
    <w:rsid w:val="003801B3"/>
    <w:rPr>
      <w:rFonts w:ascii="Tahoma" w:hAnsi="Tahoma" w:cs="Tahoma"/>
      <w:sz w:val="16"/>
      <w:szCs w:val="16"/>
    </w:rPr>
  </w:style>
  <w:style w:type="paragraph" w:styleId="FootnoteText">
    <w:name w:val="footnote text"/>
    <w:basedOn w:val="Normal"/>
    <w:link w:val="FootnoteTextChar"/>
    <w:uiPriority w:val="99"/>
    <w:unhideWhenUsed/>
    <w:rsid w:val="005340BA"/>
    <w:rPr>
      <w:sz w:val="24"/>
      <w:szCs w:val="24"/>
    </w:rPr>
  </w:style>
  <w:style w:type="character" w:customStyle="1" w:styleId="FootnoteTextChar">
    <w:name w:val="Footnote Text Char"/>
    <w:basedOn w:val="DefaultParagraphFont"/>
    <w:link w:val="FootnoteText"/>
    <w:uiPriority w:val="99"/>
    <w:rsid w:val="005340BA"/>
    <w:rPr>
      <w:sz w:val="24"/>
      <w:szCs w:val="24"/>
    </w:rPr>
  </w:style>
  <w:style w:type="character" w:styleId="FootnoteReference">
    <w:name w:val="footnote reference"/>
    <w:basedOn w:val="DefaultParagraphFont"/>
    <w:uiPriority w:val="99"/>
    <w:unhideWhenUsed/>
    <w:rsid w:val="005340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7BF5947A2F8842899FE7C2485E5967" ma:contentTypeVersion="7" ma:contentTypeDescription="Create a new document." ma:contentTypeScope="" ma:versionID="c4ed3d7b8455752fedfe3ea82695ade1">
  <xsd:schema xmlns:xsd="http://www.w3.org/2001/XMLSchema" xmlns:xs="http://www.w3.org/2001/XMLSchema" xmlns:p="http://schemas.microsoft.com/office/2006/metadata/properties" xmlns:ns1="http://schemas.microsoft.com/sharepoint/v3" xmlns:ns2="246ceecf-f75c-4457-a0cb-df0149039156" targetNamespace="http://schemas.microsoft.com/office/2006/metadata/properties" ma:root="true" ma:fieldsID="15f0ca696647819678c4c573335fc0ab" ns1:_="" ns2:_="">
    <xsd:import namespace="http://schemas.microsoft.com/sharepoint/v3"/>
    <xsd:import namespace="246ceecf-f75c-4457-a0cb-df0149039156"/>
    <xsd:element name="properties">
      <xsd:complexType>
        <xsd:sequence>
          <xsd:element name="documentManagement">
            <xsd:complexType>
              <xsd:all>
                <xsd:element ref="ns2:TaxKeywordTaxHTField" minOccurs="0"/>
                <xsd:element ref="ns2:TaxCatchAll" minOccurs="0"/>
                <xsd:element ref="ns1:_dlc_ExpireDateSaved" minOccurs="0"/>
                <xsd:element ref="ns1:_dlc_ExpireDate" minOccurs="0"/>
                <xsd:element ref="ns1:_dlc_Exempt"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element name="_vti_ItemDeclaredRecord" ma:index="1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6ceecf-f75c-4457-a0cb-df0149039156"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cb3b16da-6438-44a9-840c-73f1ed966cc5"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5867fd84-bc26-40bd-a38c-b0f56e0fbf9d}" ma:internalName="TaxCatchAll" ma:showField="CatchAllData" ma:web="246ceecf-f75c-4457-a0cb-df0149039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246ceecf-f75c-4457-a0cb-df0149039156">
      <Terms xmlns="http://schemas.microsoft.com/office/infopath/2007/PartnerControls"/>
    </TaxKeywordTaxHTField>
    <TaxCatchAll xmlns="246ceecf-f75c-4457-a0cb-df0149039156"/>
    <_dlc_ExpireDateSaved xmlns="http://schemas.microsoft.com/sharepoint/v3" xsi:nil="true"/>
    <_dlc_ExpireDate xmlns="http://schemas.microsoft.com/sharepoint/v3">2017-03-21T11:23:58+00:00</_dlc_ExpireDate>
  </documentManagement>
</p:properties>
</file>

<file path=customXml/itemProps1.xml><?xml version="1.0" encoding="utf-8"?>
<ds:datastoreItem xmlns:ds="http://schemas.openxmlformats.org/officeDocument/2006/customXml" ds:itemID="{90C57007-F179-4990-985F-8C8595840435}"/>
</file>

<file path=customXml/itemProps2.xml><?xml version="1.0" encoding="utf-8"?>
<ds:datastoreItem xmlns:ds="http://schemas.openxmlformats.org/officeDocument/2006/customXml" ds:itemID="{50EA95BC-6CE8-430C-BD53-228C6AC86E9D}"/>
</file>

<file path=customXml/itemProps3.xml><?xml version="1.0" encoding="utf-8"?>
<ds:datastoreItem xmlns:ds="http://schemas.openxmlformats.org/officeDocument/2006/customXml" ds:itemID="{823BAC45-79AD-480B-9A8E-8A73B2DB7E5F}"/>
</file>

<file path=customXml/itemProps4.xml><?xml version="1.0" encoding="utf-8"?>
<ds:datastoreItem xmlns:ds="http://schemas.openxmlformats.org/officeDocument/2006/customXml" ds:itemID="{6CD3AD00-96D6-424D-BE62-27CC45C5501D}"/>
</file>

<file path=docProps/app.xml><?xml version="1.0" encoding="utf-8"?>
<Properties xmlns="http://schemas.openxmlformats.org/officeDocument/2006/extended-properties" xmlns:vt="http://schemas.openxmlformats.org/officeDocument/2006/docPropsVTypes">
  <Template>Normal</Template>
  <TotalTime>1</TotalTime>
  <Pages>13</Pages>
  <Words>5339</Words>
  <Characters>30434</Characters>
  <Application>Microsoft Office Word</Application>
  <DocSecurity>0</DocSecurity>
  <Lines>253</Lines>
  <Paragraphs>71</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Position Paper Farmaci Biosimilari</vt:lpstr>
      <vt:lpstr>Position Paper Farmaci Biosimilari</vt:lpstr>
      <vt:lpstr>Position Paper Farmaci Biosimilari</vt:lpstr>
    </vt:vector>
  </TitlesOfParts>
  <Company>BASTARDS TeaM</Company>
  <LinksUpToDate>false</LinksUpToDate>
  <CharactersWithSpaces>35702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Paper Farmaci Biosimilari</dc:title>
  <dc:subject>AIFA Position Paper</dc:subject>
  <dc:creator>AIFA</dc:creator>
  <cp:lastModifiedBy>Giannopoulos, Zafiris {MWRO~Athens}</cp:lastModifiedBy>
  <cp:revision>2</cp:revision>
  <cp:lastPrinted>2013-06-01T20:32:00Z</cp:lastPrinted>
  <dcterms:created xsi:type="dcterms:W3CDTF">2013-10-01T07:01:00Z</dcterms:created>
  <dcterms:modified xsi:type="dcterms:W3CDTF">2013-10-01T07:01:00Z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2013-05-27T00:00:00Z</vt:filetime>
  </property>
  <property fmtid="{D5CDD505-2E9C-101B-9397-08002B2CF9AE}" pid="3" name="LastSaved">
    <vt:filetime>2013-05-30T00:00:00Z</vt:filetime>
  </property>
  <property fmtid="{D5CDD505-2E9C-101B-9397-08002B2CF9AE}" pid="4" name="ContentTypeId">
    <vt:lpwstr>0x010100F37BF5947A2F8842899FE7C2485E5967</vt:lpwstr>
  </property>
  <property fmtid="{D5CDD505-2E9C-101B-9397-08002B2CF9AE}" pid="5" name="ItemRetentionFormula">
    <vt:lpwstr>&lt;formula id="Roche.Common.Coremap.ExpirationFormula" /&gt;</vt:lpwstr>
  </property>
  <property fmtid="{D5CDD505-2E9C-101B-9397-08002B2CF9AE}" pid="6" name="_dlc_policyId">
    <vt:lpwstr>/team/20122224/Regulatory</vt:lpwstr>
  </property>
</Properties>
</file>