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dyBlank"/>
    <w:bookmarkStart w:id="1" w:name="Date"/>
    <w:bookmarkStart w:id="2" w:name="_GoBack"/>
    <w:bookmarkEnd w:id="0"/>
    <w:bookmarkEnd w:id="2"/>
    <w:p w:rsidR="00DA0DA5" w:rsidRDefault="00DA0DA5" w:rsidP="00781B97">
      <w:pPr>
        <w:pStyle w:val="RefAgency"/>
        <w:tabs>
          <w:tab w:val="left" w:pos="1277"/>
        </w:tabs>
        <w:jc w:val="both"/>
      </w:pPr>
      <w:r>
        <w:fldChar w:fldCharType="begin"/>
      </w:r>
      <w:r>
        <w:instrText xml:space="preserve"> CREATEDATE  \@ "d MMMM yyyy"  \* MERGEFORMAT </w:instrText>
      </w:r>
      <w:r>
        <w:fldChar w:fldCharType="separate"/>
      </w:r>
      <w:r w:rsidR="001414FA">
        <w:rPr>
          <w:noProof/>
          <w:lang w:val="el-GR"/>
        </w:rPr>
        <w:t>03 Απριλίου</w:t>
      </w:r>
      <w:r>
        <w:rPr>
          <w:noProof/>
        </w:rPr>
        <w:t xml:space="preserve"> 2020</w:t>
      </w:r>
      <w:r>
        <w:fldChar w:fldCharType="end"/>
      </w:r>
      <w:bookmarkEnd w:id="1"/>
    </w:p>
    <w:p w:rsidR="00DA0DA5" w:rsidRDefault="00DA0DA5" w:rsidP="00781B97">
      <w:pPr>
        <w:pStyle w:val="RefAgency"/>
        <w:jc w:val="both"/>
      </w:pPr>
      <w:r>
        <w:rPr>
          <w:szCs w:val="15"/>
        </w:rPr>
        <w:fldChar w:fldCharType="begin"/>
      </w:r>
      <w:r>
        <w:rPr>
          <w:szCs w:val="15"/>
        </w:rPr>
        <w:instrText xml:space="preserve"> IF </w:instrText>
      </w:r>
      <w:fldSimple w:instr=" DOCPROPERTY &quot;DM_emea_doc_ref_id&quot;  \* MERGEFORMAT ">
        <w:r>
          <w:instrText>EMA/160083/2020</w:instrText>
        </w:r>
      </w:fldSimple>
      <w:r>
        <w:rPr>
          <w:szCs w:val="15"/>
        </w:rPr>
        <w:instrText xml:space="preserve"> &lt;&gt; "Error*"</w:instrText>
      </w:r>
      <w:fldSimple w:instr=" DOCPROPERTY &quot;DM_emea_doc_ref_id&quot;  \* MERGEFORMAT ">
        <w:r>
          <w:instrText>EMA/160083/2020</w:instrText>
        </w:r>
      </w:fldSimple>
      <w:r>
        <w:rPr>
          <w:szCs w:val="15"/>
        </w:rPr>
        <w:instrText xml:space="preserve"> \* MERGEFORMAT </w:instrText>
      </w:r>
      <w:r>
        <w:rPr>
          <w:szCs w:val="15"/>
        </w:rPr>
        <w:fldChar w:fldCharType="separate"/>
      </w:r>
      <w:r>
        <w:rPr>
          <w:noProof/>
        </w:rPr>
        <w:t>EMA</w:t>
      </w:r>
      <w:r>
        <w:t>/</w:t>
      </w:r>
      <w:r w:rsidR="001414FA">
        <w:rPr>
          <w:lang w:val="el-GR"/>
        </w:rPr>
        <w:t>152575</w:t>
      </w:r>
      <w:r>
        <w:t>/2020</w:t>
      </w:r>
      <w:r>
        <w:rPr>
          <w:szCs w:val="15"/>
        </w:rPr>
        <w:fldChar w:fldCharType="end"/>
      </w:r>
      <w:bookmarkStart w:id="3" w:name="Head"/>
      <w:bookmarkEnd w:id="3"/>
    </w:p>
    <w:p w:rsidR="00DA0DA5" w:rsidRDefault="00DA0DA5" w:rsidP="00781B97">
      <w:pPr>
        <w:pStyle w:val="RefAgency"/>
        <w:jc w:val="both"/>
      </w:pPr>
    </w:p>
    <w:p w:rsidR="00DA0DA5" w:rsidRPr="004867B7" w:rsidRDefault="004867B7" w:rsidP="00781B97">
      <w:pPr>
        <w:pStyle w:val="DoctitleAgency"/>
        <w:jc w:val="both"/>
        <w:rPr>
          <w:lang w:val="el-GR"/>
        </w:rPr>
      </w:pPr>
      <w:r>
        <w:rPr>
          <w:lang w:val="el-GR"/>
        </w:rPr>
        <w:t xml:space="preserve">Ο Ευρωπαϊκός Οργανισμός Φαρμάκων (ΕΜΑ) παρέχει συστάσεις για την παρηγορητική χρήση της ρεμδεσιβίρης στην </w:t>
      </w:r>
      <w:r>
        <w:rPr>
          <w:lang w:val="en-US"/>
        </w:rPr>
        <w:t>COVID</w:t>
      </w:r>
      <w:r w:rsidRPr="004867B7">
        <w:rPr>
          <w:lang w:val="el-GR"/>
        </w:rPr>
        <w:t>-19</w:t>
      </w:r>
    </w:p>
    <w:p w:rsidR="003656F2" w:rsidRPr="003656F2" w:rsidRDefault="003656F2" w:rsidP="00781B97">
      <w:pPr>
        <w:pStyle w:val="DocsubtitleAgency"/>
        <w:jc w:val="both"/>
        <w:rPr>
          <w:lang w:val="el-GR"/>
        </w:rPr>
      </w:pPr>
    </w:p>
    <w:p w:rsidR="004867B7" w:rsidRDefault="004867B7" w:rsidP="004867B7">
      <w:pPr>
        <w:jc w:val="both"/>
      </w:pPr>
      <w:r>
        <w:t>Κατά τη διάρκεια μιας έκτακτης συνάντησης μέσω τηλεδιάσκεψης της 2</w:t>
      </w:r>
      <w:r w:rsidR="003F13FB">
        <w:t>ας</w:t>
      </w:r>
      <w:r>
        <w:t xml:space="preserve"> Απριλίου 2020, η Επιτροπή Ανθρώπινων Φαρμάκων (</w:t>
      </w:r>
      <w:r>
        <w:rPr>
          <w:lang w:val="en-US"/>
        </w:rPr>
        <w:t>CHMP</w:t>
      </w:r>
      <w:r>
        <w:t xml:space="preserve">) του Ευρωπαϊκού Οργανισμού Φαρμάκων (ΕΜΑ) έδωσε συστάσεις για το πώς θα πρέπει να χρησιμοποιηθεί το πειραματικό αντιικό φάρμακο ρεμδεσιβίρη για τη θεραπεία της </w:t>
      </w:r>
      <w:r>
        <w:rPr>
          <w:lang w:val="en-US"/>
        </w:rPr>
        <w:t>COVID</w:t>
      </w:r>
      <w:r>
        <w:t>-19 σε προγράμματα παρηγορητικής χρήσης στην Ευρωπαϊκή Ένωση.</w:t>
      </w:r>
    </w:p>
    <w:p w:rsidR="004867B7" w:rsidRDefault="004867B7" w:rsidP="004867B7">
      <w:pPr>
        <w:jc w:val="both"/>
      </w:pPr>
      <w:r>
        <w:t>Τα προγράμματα παρηγορητικής χρήσης, τα οποία οργανώνονται σε επίπεδο Κρατών-Μελών, έχουν σκοπό να δώσουν σε ασθενείς με απειλητική για τη ζωή, μακροχρόνια ή που θα μπορούσε να προσκαλέσει σοβαρή αναπηρία, νόσο την πρόσβαση σε θεραπείες που βρίσκονται ακόμα υπό ανάπτυξη και δεν έχουν λάβει άδεια κυκλοφορίας.</w:t>
      </w:r>
    </w:p>
    <w:p w:rsidR="004867B7" w:rsidRDefault="004867B7" w:rsidP="004867B7">
      <w:pPr>
        <w:jc w:val="both"/>
      </w:pPr>
      <w:r>
        <w:t xml:space="preserve">Στην περίπτωση αυτή η Ελλάδα, η Εσθονία, η Ολλανδία και η Ρουμανία ζήτησαν από την </w:t>
      </w:r>
      <w:r>
        <w:rPr>
          <w:lang w:val="en-US"/>
        </w:rPr>
        <w:t>CHMP</w:t>
      </w:r>
      <w:r w:rsidRPr="004867B7">
        <w:t xml:space="preserve"> </w:t>
      </w:r>
      <w:r>
        <w:t xml:space="preserve">τη γνώμη της για τους όρους υπό τους οποίους θα μπορούσε να δοθεί πρώιμη πρόσβαση για τη ρεμδεσιβίρη μέσω παρηγορητικής χρήσης σε ασθενείς με </w:t>
      </w:r>
      <w:r>
        <w:rPr>
          <w:lang w:val="en-US"/>
        </w:rPr>
        <w:t>COVID</w:t>
      </w:r>
      <w:r w:rsidRPr="004867B7">
        <w:t>-19</w:t>
      </w:r>
      <w:r>
        <w:t xml:space="preserve">. Σε σοβαρές περιπτώσεις, η </w:t>
      </w:r>
      <w:r>
        <w:rPr>
          <w:lang w:val="en-US"/>
        </w:rPr>
        <w:t>COVID</w:t>
      </w:r>
      <w:r>
        <w:t xml:space="preserve">-19 μπορεί να προκαλέσει πνευμονία, σοβαρό οξύ αναπνευστικό σύνδρομο, πολυοργανική </w:t>
      </w:r>
      <w:r w:rsidR="001B6E00">
        <w:t>ανεπάρκεια</w:t>
      </w:r>
      <w:r>
        <w:t xml:space="preserve"> και θάνατο.</w:t>
      </w:r>
    </w:p>
    <w:p w:rsidR="004867B7" w:rsidRDefault="004867B7" w:rsidP="001B6E00">
      <w:pPr>
        <w:jc w:val="both"/>
      </w:pPr>
      <w:r>
        <w:t>«</w:t>
      </w:r>
      <w:r>
        <w:rPr>
          <w:i/>
        </w:rPr>
        <w:t xml:space="preserve">Οι </w:t>
      </w:r>
      <w:hyperlink r:id="rId8" w:history="1">
        <w:r w:rsidRPr="001B6E00">
          <w:rPr>
            <w:rStyle w:val="-"/>
            <w:i/>
          </w:rPr>
          <w:t>κλινικές δοκιμές</w:t>
        </w:r>
      </w:hyperlink>
      <w:r>
        <w:rPr>
          <w:i/>
        </w:rPr>
        <w:t xml:space="preserve"> παραμένουν ο χρυσός κανόνας για τη συλλογή ισχυρών δεδομένων για την ασφάλεια και την αποτελεσματικότητα πειραματικών φαρμακευτικών προϊόντων, αλλά η </w:t>
      </w:r>
      <w:r>
        <w:rPr>
          <w:i/>
          <w:lang w:val="en-US"/>
        </w:rPr>
        <w:t>CHMP</w:t>
      </w:r>
      <w:r>
        <w:rPr>
          <w:i/>
        </w:rPr>
        <w:t xml:space="preserve"> αναγνωρίζει την ανάγκη για μια εναρμονισμένη προσέγγιση στην παρηγορητική χρήση στην Ε</w:t>
      </w:r>
      <w:r w:rsidR="003F13FB">
        <w:rPr>
          <w:i/>
        </w:rPr>
        <w:t>.</w:t>
      </w:r>
      <w:r>
        <w:rPr>
          <w:i/>
        </w:rPr>
        <w:t>Ε</w:t>
      </w:r>
      <w:r w:rsidR="003F13FB">
        <w:rPr>
          <w:i/>
        </w:rPr>
        <w:t>.</w:t>
      </w:r>
      <w:r>
        <w:rPr>
          <w:i/>
        </w:rPr>
        <w:t xml:space="preserve"> που θα επιτρέψει την πρόσβαση στη ρεμδεσιβίρη σε ασθενείς που δεν είναι επιλέξιμοι για συμμετοχή σε κλινικές δοκιμές</w:t>
      </w:r>
      <w:r>
        <w:t xml:space="preserve">» είπε ο </w:t>
      </w:r>
      <w:r>
        <w:rPr>
          <w:lang w:val="en-US"/>
        </w:rPr>
        <w:t>Dr</w:t>
      </w:r>
      <w:r w:rsidRPr="004867B7">
        <w:t xml:space="preserve"> </w:t>
      </w:r>
      <w:r>
        <w:rPr>
          <w:lang w:val="en-US"/>
        </w:rPr>
        <w:t>Harald</w:t>
      </w:r>
      <w:r w:rsidRPr="004867B7">
        <w:t xml:space="preserve"> </w:t>
      </w:r>
      <w:r>
        <w:rPr>
          <w:lang w:val="en-US"/>
        </w:rPr>
        <w:t>Enzmann</w:t>
      </w:r>
      <w:r>
        <w:t xml:space="preserve">, πρόεδρος της </w:t>
      </w:r>
      <w:r>
        <w:rPr>
          <w:lang w:val="en-US"/>
        </w:rPr>
        <w:t>CHMP</w:t>
      </w:r>
      <w:r>
        <w:t>. «</w:t>
      </w:r>
      <w:r>
        <w:rPr>
          <w:i/>
        </w:rPr>
        <w:t xml:space="preserve">Η </w:t>
      </w:r>
      <w:r>
        <w:rPr>
          <w:i/>
          <w:lang w:val="en-US"/>
        </w:rPr>
        <w:t>CHMP</w:t>
      </w:r>
      <w:r>
        <w:rPr>
          <w:i/>
        </w:rPr>
        <w:t xml:space="preserve"> ενθαρρύνει την εταιρεία να κάνει τη ρεμδεσιβίρη διαθέσιμη με έναν δίκαιο και διαφανή τρόπο στα Κράτη-Μέλη που επιθυμούν να συμμετάσχουν σε διεθνείς κλινικές δοκιμές ή να θεραπεύσουν τους ασθενείς μέσω προγραμμάτων παρηγορητικής χρήσης»</w:t>
      </w:r>
      <w:r>
        <w:t>.</w:t>
      </w:r>
    </w:p>
    <w:p w:rsidR="004867B7" w:rsidRDefault="0055168C" w:rsidP="001B6E00">
      <w:pPr>
        <w:jc w:val="both"/>
      </w:pPr>
      <w:r>
        <w:lastRenderedPageBreak/>
        <w:t xml:space="preserve">Έχει δειχθεί σε εργαστηριακές μελέτες ότι η </w:t>
      </w:r>
      <w:r w:rsidR="004867B7">
        <w:t xml:space="preserve">ρεμδεσιβίρη έχει δράση έναντι του </w:t>
      </w:r>
      <w:r w:rsidR="004867B7">
        <w:rPr>
          <w:lang w:val="en-US"/>
        </w:rPr>
        <w:t>SARS</w:t>
      </w:r>
      <w:r w:rsidR="004867B7">
        <w:t>-</w:t>
      </w:r>
      <w:r w:rsidR="004867B7">
        <w:rPr>
          <w:lang w:val="en-US"/>
        </w:rPr>
        <w:t>CoV</w:t>
      </w:r>
      <w:r w:rsidR="004867B7">
        <w:t>-2 και άλλων τύπων κορωνοϊών (</w:t>
      </w:r>
      <w:r w:rsidR="004867B7">
        <w:rPr>
          <w:lang w:val="en-US"/>
        </w:rPr>
        <w:t>SARS</w:t>
      </w:r>
      <w:r w:rsidR="004867B7">
        <w:t>-</w:t>
      </w:r>
      <w:r w:rsidR="004867B7">
        <w:rPr>
          <w:lang w:val="en-US"/>
        </w:rPr>
        <w:t>CoV</w:t>
      </w:r>
      <w:r w:rsidR="004867B7" w:rsidRPr="004867B7">
        <w:t xml:space="preserve"> </w:t>
      </w:r>
      <w:r w:rsidR="004867B7">
        <w:t xml:space="preserve">και </w:t>
      </w:r>
      <w:r w:rsidR="004867B7">
        <w:rPr>
          <w:lang w:val="en-US"/>
        </w:rPr>
        <w:t>MERS</w:t>
      </w:r>
      <w:r w:rsidR="004867B7">
        <w:t>-</w:t>
      </w:r>
      <w:r w:rsidR="004867B7">
        <w:rPr>
          <w:lang w:val="en-US"/>
        </w:rPr>
        <w:t>CoV</w:t>
      </w:r>
      <w:r w:rsidR="004867B7">
        <w:t xml:space="preserve">). Ωστόσο, προς το παρόν υπάρχουν περιορισμένα δεδομένα σχετικά με τη χρήση της ρεμδεσιβίρης σε ασθενείς με </w:t>
      </w:r>
      <w:r w:rsidR="004867B7">
        <w:rPr>
          <w:lang w:val="en-US"/>
        </w:rPr>
        <w:t>COVID</w:t>
      </w:r>
      <w:r w:rsidR="004867B7">
        <w:t>-19.</w:t>
      </w:r>
    </w:p>
    <w:p w:rsidR="004867B7" w:rsidRDefault="004867B7" w:rsidP="001B6E00">
      <w:pPr>
        <w:jc w:val="both"/>
      </w:pPr>
      <w:r>
        <w:t xml:space="preserve">Ο σκοπός των συστάσεων της </w:t>
      </w:r>
      <w:r>
        <w:rPr>
          <w:lang w:val="en-US"/>
        </w:rPr>
        <w:t>CHMP</w:t>
      </w:r>
      <w:r w:rsidRPr="004867B7">
        <w:t xml:space="preserve"> </w:t>
      </w:r>
      <w:r>
        <w:t xml:space="preserve">για τη ρεμδεσιβίρη είναι να εξασφαλιστεί μια κοινή προσέγγιση σχετικά με τα κριτήρια και τους όρους χρήσης </w:t>
      </w:r>
      <w:r w:rsidR="0055168C">
        <w:t>της,</w:t>
      </w:r>
      <w:r>
        <w:t xml:space="preserve"> πριν από την έγκριση των προγραμμάτων παρηγορητικής χρήσης από τα Κράτη-Μέλη. Οι συστάσεις είναι για τα Κράτη-Μέλη που σκοπεύουν να </w:t>
      </w:r>
      <w:r w:rsidR="001B6E00">
        <w:t>υλοποιήσουν</w:t>
      </w:r>
      <w:r>
        <w:t xml:space="preserve"> τέτοιο πρόγραμμα και η εφαρμογή τους δεν είναι υποχρεωτική. Οι συστάσεις αυτές περιγράφουν </w:t>
      </w:r>
      <w:r w:rsidR="001B6E00">
        <w:t>τους</w:t>
      </w:r>
      <w:r>
        <w:t xml:space="preserve"> ασθενείς </w:t>
      </w:r>
      <w:r w:rsidR="001B6E00">
        <w:t xml:space="preserve">που </w:t>
      </w:r>
      <w:r>
        <w:t>πιθανόν να ωφεληθούν από το φάρμακο, εξηγούν τον τρόπο χρήσης της ρεμδεσιβίρης και παρέχουν προκαταρκτικές πληροφορίες για την ασφάλειά της.</w:t>
      </w:r>
    </w:p>
    <w:p w:rsidR="004867B7" w:rsidRDefault="004867B7" w:rsidP="001B6E00">
      <w:pPr>
        <w:jc w:val="both"/>
      </w:pPr>
      <w:r>
        <w:t xml:space="preserve">Η </w:t>
      </w:r>
      <w:hyperlink r:id="rId9" w:history="1">
        <w:r>
          <w:rPr>
            <w:rStyle w:val="-"/>
          </w:rPr>
          <w:t>περίληψη</w:t>
        </w:r>
      </w:hyperlink>
      <w:r>
        <w:t xml:space="preserve"> για την παρηγορητική χρήση και οι </w:t>
      </w:r>
      <w:hyperlink r:id="rId10" w:history="1">
        <w:r>
          <w:rPr>
            <w:rStyle w:val="-"/>
          </w:rPr>
          <w:t>όροι χρήσης</w:t>
        </w:r>
      </w:hyperlink>
      <w:r>
        <w:t xml:space="preserve"> της ρεμδεσιβίρης στο πλαίσιο αυτό βρίσκονται διαθέσιμα στ</w:t>
      </w:r>
      <w:r w:rsidR="001414FA">
        <w:t>ον ιστότοπο</w:t>
      </w:r>
      <w:r>
        <w:t xml:space="preserve"> του ΕΜΑ.</w:t>
      </w:r>
    </w:p>
    <w:p w:rsidR="00595BB5" w:rsidRDefault="00595BB5" w:rsidP="001B6E00">
      <w:pPr>
        <w:pBdr>
          <w:bottom w:val="single" w:sz="6" w:space="1" w:color="auto"/>
        </w:pBdr>
        <w:jc w:val="both"/>
      </w:pPr>
    </w:p>
    <w:p w:rsidR="00BF45B4" w:rsidRPr="001414FA" w:rsidRDefault="00BF45B4" w:rsidP="00595BB5">
      <w:pPr>
        <w:pStyle w:val="BodytextAgency"/>
        <w:spacing w:line="240" w:lineRule="auto"/>
        <w:ind w:left="357"/>
        <w:jc w:val="both"/>
        <w:rPr>
          <w:lang w:val="el-GR"/>
        </w:rPr>
      </w:pPr>
    </w:p>
    <w:p w:rsidR="00595BB5" w:rsidRDefault="00595BB5" w:rsidP="00595BB5">
      <w:pPr>
        <w:pStyle w:val="No-numheading5Agency"/>
        <w:jc w:val="both"/>
        <w:rPr>
          <w:szCs w:val="18"/>
          <w:lang w:val="el-GR"/>
        </w:rPr>
      </w:pPr>
      <w:r>
        <w:rPr>
          <w:szCs w:val="18"/>
          <w:lang w:val="el-GR"/>
        </w:rPr>
        <w:t>Περισσότερα για τ</w:t>
      </w:r>
      <w:r>
        <w:rPr>
          <w:szCs w:val="18"/>
          <w:lang w:val="en-AU"/>
        </w:rPr>
        <w:t>q</w:t>
      </w:r>
      <w:r>
        <w:rPr>
          <w:szCs w:val="18"/>
          <w:lang w:val="el-GR"/>
        </w:rPr>
        <w:t xml:space="preserve"> φάρμακα</w:t>
      </w:r>
    </w:p>
    <w:p w:rsidR="006004C4" w:rsidRDefault="00595BB5" w:rsidP="00595BB5">
      <w:pPr>
        <w:pStyle w:val="BodytextAgency"/>
        <w:spacing w:line="240" w:lineRule="auto"/>
        <w:jc w:val="both"/>
        <w:rPr>
          <w:lang w:val="el-GR"/>
        </w:rPr>
      </w:pPr>
      <w:r>
        <w:rPr>
          <w:lang w:val="el-GR"/>
        </w:rPr>
        <w:t xml:space="preserve">Η </w:t>
      </w:r>
      <w:r w:rsidRPr="00595BB5">
        <w:rPr>
          <w:lang w:val="el-GR"/>
        </w:rPr>
        <w:t xml:space="preserve">ρεμδεσιβίρη </w:t>
      </w:r>
      <w:r>
        <w:rPr>
          <w:lang w:val="el-GR"/>
        </w:rPr>
        <w:t>είναι ένα αντιιικό φάρμακο που ερευνάται στη</w:t>
      </w:r>
      <w:r w:rsidRPr="00595BB5">
        <w:rPr>
          <w:lang w:val="el-GR"/>
        </w:rPr>
        <w:t xml:space="preserve"> </w:t>
      </w:r>
      <w:r>
        <w:rPr>
          <w:lang w:val="el-GR"/>
        </w:rPr>
        <w:t xml:space="preserve">θεραπεία της </w:t>
      </w:r>
      <w:r>
        <w:rPr>
          <w:lang w:val="en-US"/>
        </w:rPr>
        <w:t>COVID</w:t>
      </w:r>
      <w:r w:rsidRPr="00595BB5">
        <w:rPr>
          <w:lang w:val="el-GR"/>
        </w:rPr>
        <w:t xml:space="preserve">-19. </w:t>
      </w:r>
      <w:r>
        <w:rPr>
          <w:lang w:val="el-GR"/>
        </w:rPr>
        <w:t xml:space="preserve">Η </w:t>
      </w:r>
      <w:r w:rsidRPr="00595BB5">
        <w:rPr>
          <w:lang w:val="el-GR"/>
        </w:rPr>
        <w:t xml:space="preserve">ρεμδεσιβίρη </w:t>
      </w:r>
      <w:r>
        <w:rPr>
          <w:lang w:val="el-GR"/>
        </w:rPr>
        <w:t xml:space="preserve">είναι αναστολέας της </w:t>
      </w:r>
      <w:r>
        <w:rPr>
          <w:lang w:val="en-US"/>
        </w:rPr>
        <w:t>RNA</w:t>
      </w:r>
      <w:r w:rsidRPr="00595BB5">
        <w:rPr>
          <w:lang w:val="el-GR"/>
        </w:rPr>
        <w:t xml:space="preserve"> </w:t>
      </w:r>
      <w:r>
        <w:rPr>
          <w:lang w:val="el-GR"/>
        </w:rPr>
        <w:t xml:space="preserve">πολυμεράσης (ένα φάρμακο που παρεμβαίνει στην παραγωγή του γενετικού υλικού του ιού, προλαμβάνοντας την αναπαραγωγή του ιού). </w:t>
      </w:r>
      <w:r w:rsidR="006004C4">
        <w:rPr>
          <w:lang w:val="el-GR"/>
        </w:rPr>
        <w:t xml:space="preserve">Έχει δεχθεί ευρεία </w:t>
      </w:r>
      <w:r w:rsidR="006004C4" w:rsidRPr="006004C4">
        <w:rPr>
          <w:i/>
          <w:lang w:val="en-US"/>
        </w:rPr>
        <w:t>in</w:t>
      </w:r>
      <w:r w:rsidR="006004C4" w:rsidRPr="006004C4">
        <w:rPr>
          <w:i/>
          <w:lang w:val="el-GR"/>
        </w:rPr>
        <w:t xml:space="preserve"> </w:t>
      </w:r>
      <w:r w:rsidR="006004C4" w:rsidRPr="006004C4">
        <w:rPr>
          <w:i/>
          <w:lang w:val="en-US"/>
        </w:rPr>
        <w:t>vitro</w:t>
      </w:r>
      <w:r w:rsidR="006004C4" w:rsidRPr="006004C4">
        <w:rPr>
          <w:lang w:val="el-GR"/>
        </w:rPr>
        <w:t xml:space="preserve"> </w:t>
      </w:r>
      <w:r w:rsidR="006004C4">
        <w:rPr>
          <w:lang w:val="el-GR"/>
        </w:rPr>
        <w:t xml:space="preserve">δράση έναντι του </w:t>
      </w:r>
      <w:r w:rsidR="006004C4">
        <w:rPr>
          <w:lang w:val="en-US"/>
        </w:rPr>
        <w:t>RNA</w:t>
      </w:r>
      <w:r w:rsidR="006004C4" w:rsidRPr="006004C4">
        <w:rPr>
          <w:lang w:val="el-GR"/>
        </w:rPr>
        <w:t xml:space="preserve"> </w:t>
      </w:r>
      <w:r w:rsidR="006004C4">
        <w:rPr>
          <w:lang w:val="el-GR"/>
        </w:rPr>
        <w:t xml:space="preserve">πολλών ιών, συμπεριλαμβανόμενου του </w:t>
      </w:r>
      <w:r w:rsidR="006004C4">
        <w:rPr>
          <w:lang w:val="en-US"/>
        </w:rPr>
        <w:t>SARS</w:t>
      </w:r>
      <w:r w:rsidR="006004C4" w:rsidRPr="006004C4">
        <w:rPr>
          <w:lang w:val="el-GR"/>
        </w:rPr>
        <w:t>-</w:t>
      </w:r>
      <w:r w:rsidR="006004C4">
        <w:rPr>
          <w:lang w:val="en-US"/>
        </w:rPr>
        <w:t>CoV</w:t>
      </w:r>
      <w:r w:rsidR="006004C4" w:rsidRPr="006004C4">
        <w:rPr>
          <w:lang w:val="el-GR"/>
        </w:rPr>
        <w:t xml:space="preserve">-2 </w:t>
      </w:r>
      <w:r w:rsidR="006004C4">
        <w:rPr>
          <w:lang w:val="el-GR"/>
        </w:rPr>
        <w:t xml:space="preserve">και αρχικά αναπτύχθηκε για τη θεραπεία της νόσου από τον ιο </w:t>
      </w:r>
      <w:r w:rsidR="006004C4">
        <w:rPr>
          <w:lang w:val="en-US"/>
        </w:rPr>
        <w:t>Ebola</w:t>
      </w:r>
      <w:r w:rsidR="006004C4" w:rsidRPr="006004C4">
        <w:rPr>
          <w:lang w:val="el-GR"/>
        </w:rPr>
        <w:t>.</w:t>
      </w:r>
    </w:p>
    <w:p w:rsidR="006004C4" w:rsidRDefault="006004C4" w:rsidP="00595BB5">
      <w:pPr>
        <w:pStyle w:val="BodytextAgency"/>
        <w:spacing w:line="240" w:lineRule="auto"/>
        <w:jc w:val="both"/>
        <w:rPr>
          <w:lang w:val="el-GR"/>
        </w:rPr>
      </w:pPr>
      <w:r>
        <w:rPr>
          <w:lang w:val="en-US"/>
        </w:rPr>
        <w:t>H</w:t>
      </w:r>
      <w:r w:rsidRPr="006004C4">
        <w:rPr>
          <w:lang w:val="el-GR"/>
        </w:rPr>
        <w:t xml:space="preserve"> </w:t>
      </w:r>
      <w:r w:rsidRPr="00595BB5">
        <w:rPr>
          <w:lang w:val="el-GR"/>
        </w:rPr>
        <w:t xml:space="preserve">ρεμδεσιβίρη </w:t>
      </w:r>
      <w:r>
        <w:rPr>
          <w:lang w:val="el-GR"/>
        </w:rPr>
        <w:t xml:space="preserve">παράγεται από την εταιρεία </w:t>
      </w:r>
      <w:r>
        <w:rPr>
          <w:lang w:val="en-US"/>
        </w:rPr>
        <w:t>Gilead</w:t>
      </w:r>
      <w:r w:rsidRPr="006004C4">
        <w:rPr>
          <w:lang w:val="el-GR"/>
        </w:rPr>
        <w:t xml:space="preserve"> </w:t>
      </w:r>
      <w:r>
        <w:rPr>
          <w:lang w:val="en-AU"/>
        </w:rPr>
        <w:t>Sciences</w:t>
      </w:r>
      <w:r w:rsidRPr="006004C4">
        <w:rPr>
          <w:lang w:val="el-GR"/>
        </w:rPr>
        <w:t xml:space="preserve"> </w:t>
      </w:r>
      <w:r>
        <w:rPr>
          <w:lang w:val="en-AU"/>
        </w:rPr>
        <w:t>Inc</w:t>
      </w:r>
      <w:r w:rsidRPr="006004C4">
        <w:rPr>
          <w:lang w:val="el-GR"/>
        </w:rPr>
        <w:t xml:space="preserve">. </w:t>
      </w:r>
      <w:r>
        <w:rPr>
          <w:lang w:val="el-GR"/>
        </w:rPr>
        <w:t>και χορηγείται με ενδοφλέβια, στάγδην, έγχυση.</w:t>
      </w:r>
    </w:p>
    <w:p w:rsidR="00595BB5" w:rsidRDefault="00595BB5" w:rsidP="00595BB5">
      <w:pPr>
        <w:pStyle w:val="BodytextAgency"/>
        <w:spacing w:line="240" w:lineRule="auto"/>
        <w:jc w:val="both"/>
        <w:rPr>
          <w:b/>
          <w:lang w:val="el-GR"/>
        </w:rPr>
      </w:pPr>
      <w:r>
        <w:rPr>
          <w:b/>
          <w:lang w:val="el-GR"/>
        </w:rPr>
        <w:t>Περισσότερα για τη διαδικασία</w:t>
      </w:r>
    </w:p>
    <w:p w:rsidR="00BF45B4" w:rsidRDefault="006004C4" w:rsidP="00BF45B4">
      <w:pPr>
        <w:pStyle w:val="BodytextAgency"/>
        <w:spacing w:line="240" w:lineRule="auto"/>
        <w:jc w:val="both"/>
        <w:rPr>
          <w:lang w:val="el-GR"/>
        </w:rPr>
      </w:pPr>
      <w:r>
        <w:rPr>
          <w:lang w:val="el-GR"/>
        </w:rPr>
        <w:t xml:space="preserve">Οι εθνικές </w:t>
      </w:r>
      <w:r w:rsidR="00BF45B4">
        <w:rPr>
          <w:lang w:val="el-GR"/>
        </w:rPr>
        <w:t xml:space="preserve">αρμόδιες αρχές μπορούν να απευθύνουν ερώτημα στον ΕΜΑ για την παροχή γνώμης για τη χορήγηση, τη διανομή, και τη χρήση συγκεκριμένων φαρμάκων για παρηγορητική χρήση σύμφωνα με το </w:t>
      </w:r>
      <w:r w:rsidR="001414FA" w:rsidRPr="0055168C">
        <w:rPr>
          <w:lang w:val="el-GR"/>
        </w:rPr>
        <w:t xml:space="preserve">Άρθρο 83 του </w:t>
      </w:r>
      <w:hyperlink r:id="rId11" w:history="1">
        <w:r w:rsidR="001414FA" w:rsidRPr="0055168C">
          <w:rPr>
            <w:rStyle w:val="-"/>
            <w:lang w:val="el-GR"/>
          </w:rPr>
          <w:t>Κανονισμού</w:t>
        </w:r>
        <w:r w:rsidR="0055168C" w:rsidRPr="0055168C">
          <w:rPr>
            <w:rStyle w:val="-"/>
            <w:lang w:val="el-GR"/>
          </w:rPr>
          <w:t xml:space="preserve"> (</w:t>
        </w:r>
        <w:r w:rsidR="0055168C" w:rsidRPr="0055168C">
          <w:rPr>
            <w:rStyle w:val="-"/>
            <w:lang w:val="en-US"/>
          </w:rPr>
          <w:t>EC</w:t>
        </w:r>
        <w:r w:rsidR="0055168C" w:rsidRPr="0055168C">
          <w:rPr>
            <w:rStyle w:val="-"/>
            <w:lang w:val="el-GR"/>
          </w:rPr>
          <w:t>)</w:t>
        </w:r>
        <w:r w:rsidR="00BF45B4" w:rsidRPr="0055168C">
          <w:rPr>
            <w:rStyle w:val="-"/>
            <w:lang w:val="el-GR"/>
          </w:rPr>
          <w:t xml:space="preserve"> 726/2004</w:t>
        </w:r>
      </w:hyperlink>
      <w:r w:rsidR="00BF45B4">
        <w:rPr>
          <w:lang w:val="el-GR"/>
        </w:rPr>
        <w:t>.</w:t>
      </w:r>
    </w:p>
    <w:p w:rsidR="001414FA" w:rsidRDefault="001414FA" w:rsidP="00BF45B4">
      <w:pPr>
        <w:pStyle w:val="BodytextAgency"/>
        <w:spacing w:line="240" w:lineRule="auto"/>
        <w:jc w:val="both"/>
        <w:rPr>
          <w:lang w:val="el-GR"/>
        </w:rPr>
      </w:pPr>
      <w:r>
        <w:rPr>
          <w:lang w:val="el-GR"/>
        </w:rPr>
        <w:t xml:space="preserve">Περισσότερες πληροφορίες για την παρηγορητική θεραπεία είναι διαθέσιμες </w:t>
      </w:r>
      <w:r w:rsidRPr="001414FA">
        <w:rPr>
          <w:lang w:val="el-GR"/>
        </w:rPr>
        <w:t>στον ιστότοπο του ΕΜΑ</w:t>
      </w:r>
      <w:r>
        <w:rPr>
          <w:lang w:val="el-GR"/>
        </w:rPr>
        <w:t>:</w:t>
      </w:r>
    </w:p>
    <w:p w:rsidR="00DA0DA5" w:rsidRPr="001414FA" w:rsidRDefault="003450A9" w:rsidP="00BF45B4">
      <w:pPr>
        <w:pStyle w:val="BodytextAgency"/>
        <w:spacing w:line="240" w:lineRule="auto"/>
        <w:jc w:val="both"/>
        <w:rPr>
          <w:lang w:val="el-GR"/>
        </w:rPr>
      </w:pPr>
      <w:hyperlink r:id="rId12" w:history="1">
        <w:r w:rsidR="0055168C" w:rsidRPr="00226891">
          <w:rPr>
            <w:rStyle w:val="-"/>
            <w:lang w:val="en"/>
          </w:rPr>
          <w:t>https</w:t>
        </w:r>
        <w:r w:rsidR="0055168C" w:rsidRPr="00226891">
          <w:rPr>
            <w:rStyle w:val="-"/>
            <w:lang w:val="el-GR"/>
          </w:rPr>
          <w:t>://</w:t>
        </w:r>
        <w:r w:rsidR="0055168C" w:rsidRPr="00226891">
          <w:rPr>
            <w:rStyle w:val="-"/>
            <w:lang w:val="en"/>
          </w:rPr>
          <w:t>www</w:t>
        </w:r>
        <w:r w:rsidR="0055168C" w:rsidRPr="00226891">
          <w:rPr>
            <w:rStyle w:val="-"/>
            <w:lang w:val="el-GR"/>
          </w:rPr>
          <w:t>.</w:t>
        </w:r>
        <w:r w:rsidR="0055168C" w:rsidRPr="00226891">
          <w:rPr>
            <w:rStyle w:val="-"/>
            <w:lang w:val="en"/>
          </w:rPr>
          <w:t>ema</w:t>
        </w:r>
        <w:r w:rsidR="0055168C" w:rsidRPr="00226891">
          <w:rPr>
            <w:rStyle w:val="-"/>
            <w:lang w:val="el-GR"/>
          </w:rPr>
          <w:t>.</w:t>
        </w:r>
        <w:r w:rsidR="0055168C" w:rsidRPr="00226891">
          <w:rPr>
            <w:rStyle w:val="-"/>
            <w:lang w:val="en"/>
          </w:rPr>
          <w:t>europa</w:t>
        </w:r>
        <w:r w:rsidR="0055168C" w:rsidRPr="00226891">
          <w:rPr>
            <w:rStyle w:val="-"/>
            <w:lang w:val="el-GR"/>
          </w:rPr>
          <w:t>.</w:t>
        </w:r>
        <w:r w:rsidR="0055168C" w:rsidRPr="00226891">
          <w:rPr>
            <w:rStyle w:val="-"/>
            <w:lang w:val="en"/>
          </w:rPr>
          <w:t>eu</w:t>
        </w:r>
        <w:r w:rsidR="0055168C" w:rsidRPr="00226891">
          <w:rPr>
            <w:rStyle w:val="-"/>
            <w:lang w:val="el-GR"/>
          </w:rPr>
          <w:t>/</w:t>
        </w:r>
        <w:r w:rsidR="0055168C" w:rsidRPr="00226891">
          <w:rPr>
            <w:rStyle w:val="-"/>
            <w:lang w:val="en"/>
          </w:rPr>
          <w:t>en</w:t>
        </w:r>
        <w:r w:rsidR="0055168C" w:rsidRPr="00226891">
          <w:rPr>
            <w:rStyle w:val="-"/>
            <w:lang w:val="el-GR"/>
          </w:rPr>
          <w:t>/</w:t>
        </w:r>
        <w:r w:rsidR="0055168C" w:rsidRPr="00226891">
          <w:rPr>
            <w:rStyle w:val="-"/>
            <w:lang w:val="en"/>
          </w:rPr>
          <w:t>human</w:t>
        </w:r>
        <w:r w:rsidR="0055168C" w:rsidRPr="00226891">
          <w:rPr>
            <w:rStyle w:val="-"/>
            <w:lang w:val="el-GR"/>
          </w:rPr>
          <w:t>-</w:t>
        </w:r>
        <w:r w:rsidR="0055168C" w:rsidRPr="00226891">
          <w:rPr>
            <w:rStyle w:val="-"/>
            <w:lang w:val="en"/>
          </w:rPr>
          <w:t>regulatory</w:t>
        </w:r>
        <w:r w:rsidR="0055168C" w:rsidRPr="00226891">
          <w:rPr>
            <w:rStyle w:val="-"/>
            <w:lang w:val="el-GR"/>
          </w:rPr>
          <w:t>/</w:t>
        </w:r>
        <w:r w:rsidR="0055168C" w:rsidRPr="00226891">
          <w:rPr>
            <w:rStyle w:val="-"/>
            <w:lang w:val="en"/>
          </w:rPr>
          <w:t>research</w:t>
        </w:r>
        <w:r w:rsidR="0055168C" w:rsidRPr="00226891">
          <w:rPr>
            <w:rStyle w:val="-"/>
            <w:lang w:val="el-GR"/>
          </w:rPr>
          <w:t>-</w:t>
        </w:r>
        <w:r w:rsidR="0055168C" w:rsidRPr="00226891">
          <w:rPr>
            <w:rStyle w:val="-"/>
            <w:lang w:val="en"/>
          </w:rPr>
          <w:t>development</w:t>
        </w:r>
        <w:r w:rsidR="0055168C" w:rsidRPr="00226891">
          <w:rPr>
            <w:rStyle w:val="-"/>
            <w:lang w:val="el-GR"/>
          </w:rPr>
          <w:t>/</w:t>
        </w:r>
        <w:r w:rsidR="0055168C" w:rsidRPr="00226891">
          <w:rPr>
            <w:rStyle w:val="-"/>
            <w:lang w:val="en"/>
          </w:rPr>
          <w:t>compassionate</w:t>
        </w:r>
        <w:r w:rsidR="0055168C" w:rsidRPr="00226891">
          <w:rPr>
            <w:rStyle w:val="-"/>
            <w:lang w:val="el-GR"/>
          </w:rPr>
          <w:t>-</w:t>
        </w:r>
        <w:r w:rsidR="0055168C" w:rsidRPr="00226891">
          <w:rPr>
            <w:rStyle w:val="-"/>
            <w:lang w:val="en"/>
          </w:rPr>
          <w:t>use</w:t>
        </w:r>
      </w:hyperlink>
    </w:p>
    <w:p w:rsidR="00374731" w:rsidRPr="009C1AA4" w:rsidRDefault="00374731" w:rsidP="00781B97">
      <w:pPr>
        <w:jc w:val="both"/>
      </w:pPr>
    </w:p>
    <w:sectPr w:rsidR="00374731" w:rsidRPr="009C1AA4" w:rsidSect="001414FA">
      <w:footerReference w:type="default" r:id="rId13"/>
      <w:headerReference w:type="first" r:id="rId14"/>
      <w:footerReference w:type="first" r:id="rId15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A9" w:rsidRDefault="003450A9" w:rsidP="00DA0DA5">
      <w:pPr>
        <w:spacing w:after="0" w:line="240" w:lineRule="auto"/>
      </w:pPr>
      <w:r>
        <w:separator/>
      </w:r>
    </w:p>
  </w:endnote>
  <w:endnote w:type="continuationSeparator" w:id="0">
    <w:p w:rsidR="003450A9" w:rsidRDefault="003450A9" w:rsidP="00DA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643"/>
      <w:gridCol w:w="1756"/>
    </w:tblGrid>
    <w:tr w:rsidR="003F13FB" w:rsidTr="00003025">
      <w:tc>
        <w:tcPr>
          <w:tcW w:w="5000" w:type="pct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F13FB" w:rsidRDefault="003F13FB" w:rsidP="00003025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fldSimple w:instr=" STYLEREF  &quot;Doc title (Agency)&quot;  \* MERGEFORMAT ">
            <w:r w:rsidR="00B7547A" w:rsidRPr="00B7547A">
              <w:rPr>
                <w:b/>
                <w:bCs/>
                <w:noProof/>
              </w:rPr>
              <w:instrText>Ο</w:instrText>
            </w:r>
            <w:r w:rsidR="00B7547A">
              <w:rPr>
                <w:noProof/>
              </w:rPr>
              <w:instrText xml:space="preserve"> Ευρωπαϊκός Οργανισμός Φαρμάκων (ΕΜΑ) παρέχει συστάσεις για την παρηγορητική χρήση της ρεμδεσιβίρης στην COVID-19</w:instrText>
            </w:r>
          </w:fldSimple>
          <w:r>
            <w:rPr>
              <w:szCs w:val="15"/>
            </w:rPr>
            <w:instrText xml:space="preserve"> &lt;&gt; "Error*"</w:instrText>
          </w:r>
          <w:fldSimple w:instr=" STYLEREF  &quot;Doc title (Agency)&quot;  \* MERGEFORMAT ">
            <w:r w:rsidR="00B7547A">
              <w:rPr>
                <w:noProof/>
              </w:rPr>
              <w:instrText>Ο Ευρωπαϊκός Οργανισμός Φαρμάκων (ΕΜΑ) παρέχει συστάσεις για την παρηγορητική χρήση της ρεμδεσιβίρης στην COVID-19</w:instrText>
            </w:r>
          </w:fldSimple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B7547A">
            <w:rPr>
              <w:noProof/>
            </w:rPr>
            <w:t>Ο Ευρωπαϊκός Οργανισμός Φαρμάκων (ΕΜΑ) παρέχει συστάσεις για την παρηγορητική χρήση της ρεμδεσιβίρης στην COVID-19</w:t>
          </w:r>
          <w:r>
            <w:rPr>
              <w:szCs w:val="15"/>
            </w:rPr>
            <w:fldChar w:fldCharType="end"/>
          </w:r>
        </w:p>
      </w:tc>
    </w:tr>
    <w:tr w:rsidR="003F13FB" w:rsidTr="00003025">
      <w:tc>
        <w:tcPr>
          <w:tcW w:w="4066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F13FB" w:rsidRDefault="003F13FB" w:rsidP="00642C7A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fldSimple w:instr=" DOCPROPERTY &quot;DM_emea_doc_ref_id&quot;  \* MERGEFORMAT ">
            <w:r>
              <w:rPr>
                <w:b/>
                <w:bCs/>
                <w:lang w:val="en-US"/>
              </w:rPr>
              <w:instrText>EMA</w:instrText>
            </w:r>
            <w:r>
              <w:instrText>/160083/2020</w:instrText>
            </w:r>
          </w:fldSimple>
          <w:r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>
              <w:instrText>EMA/160083/2020</w:instrText>
            </w:r>
          </w:fldSimple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EMA/152575/2020</w:t>
          </w:r>
          <w:r>
            <w:rPr>
              <w:szCs w:val="15"/>
            </w:rPr>
            <w:fldChar w:fldCharType="end"/>
          </w:r>
        </w:p>
      </w:tc>
      <w:tc>
        <w:tcPr>
          <w:tcW w:w="934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F13FB" w:rsidRDefault="003F13FB" w:rsidP="00003025">
          <w:pPr>
            <w:pStyle w:val="PagenumberAgency"/>
          </w:pPr>
          <w:r>
            <w:t xml:space="preserve">Σελίδα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547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B7547A">
              <w:rPr>
                <w:noProof/>
              </w:rPr>
              <w:t>2</w:t>
            </w:r>
          </w:fldSimple>
        </w:p>
      </w:tc>
    </w:tr>
  </w:tbl>
  <w:p w:rsidR="003F13FB" w:rsidRDefault="003F13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FB" w:rsidRDefault="003F13FB" w:rsidP="00642C7A">
    <w:pPr>
      <w:pStyle w:val="a4"/>
      <w:tabs>
        <w:tab w:val="clear" w:pos="8306"/>
      </w:tabs>
    </w:pPr>
  </w:p>
  <w:tbl>
    <w:tblPr>
      <w:tblW w:w="5000" w:type="pct"/>
      <w:tblLayout w:type="fixed"/>
      <w:tblLook w:val="01E0" w:firstRow="1" w:lastRow="1" w:firstColumn="1" w:lastColumn="1" w:noHBand="0" w:noVBand="0"/>
    </w:tblPr>
    <w:tblGrid>
      <w:gridCol w:w="9399"/>
    </w:tblGrid>
    <w:tr w:rsidR="003F13FB" w:rsidRPr="001F4507" w:rsidTr="007B141C">
      <w:tc>
        <w:tcPr>
          <w:tcW w:w="94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  <w:hideMark/>
        </w:tcPr>
        <w:tbl>
          <w:tblPr>
            <w:tblW w:w="8777" w:type="dxa"/>
            <w:tblLayout w:type="fixed"/>
            <w:tblLook w:val="01E0" w:firstRow="1" w:lastRow="1" w:firstColumn="1" w:lastColumn="1" w:noHBand="0" w:noVBand="0"/>
          </w:tblPr>
          <w:tblGrid>
            <w:gridCol w:w="6375"/>
            <w:gridCol w:w="2402"/>
          </w:tblGrid>
          <w:tr w:rsidR="003F13FB" w:rsidTr="00705C24">
            <w:trPr>
              <w:trHeight w:hRule="exact" w:val="198"/>
            </w:trPr>
            <w:tc>
              <w:tcPr>
                <w:tcW w:w="637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3F13FB" w:rsidRPr="007B141C" w:rsidRDefault="003F13FB" w:rsidP="007B141C">
                <w:pPr>
                  <w:pStyle w:val="FooterAgency"/>
                  <w:rPr>
                    <w:lang w:val="en-AU"/>
                  </w:rPr>
                </w:pPr>
                <w:r w:rsidRPr="007B141C">
                  <w:rPr>
                    <w:b/>
                    <w:color w:val="003399"/>
                    <w:sz w:val="13"/>
                    <w:lang w:val="en-AU"/>
                  </w:rPr>
                  <w:t>Official address</w:t>
                </w:r>
                <w:r w:rsidRPr="007B141C">
                  <w:rPr>
                    <w:lang w:val="en-AU"/>
                  </w:rPr>
                  <w:t xml:space="preserve">  Domenico Scarlattilaan 6  </w:t>
                </w:r>
                <w:r w:rsidRPr="007B141C">
                  <w:rPr>
                    <w:rStyle w:val="FooterblueAgencyCharChar"/>
                    <w:lang w:val="en-AU"/>
                  </w:rPr>
                  <w:t>●</w:t>
                </w:r>
                <w:r w:rsidRPr="007B141C">
                  <w:rPr>
                    <w:lang w:val="en-AU"/>
                  </w:rPr>
                  <w:t xml:space="preserve">  1083 HS Amsterdam  </w:t>
                </w:r>
                <w:r w:rsidRPr="007B141C">
                  <w:rPr>
                    <w:rStyle w:val="FooterblueAgencyCharChar"/>
                    <w:lang w:val="en-AU"/>
                  </w:rPr>
                  <w:t>●</w:t>
                </w:r>
                <w:r w:rsidRPr="007B141C">
                  <w:rPr>
                    <w:lang w:val="en-AU"/>
                  </w:rPr>
                  <w:t xml:space="preserve">  The Netherlands</w:t>
                </w:r>
              </w:p>
            </w:tc>
            <w:tc>
              <w:tcPr>
                <w:tcW w:w="2402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tbl>
                <w:tblPr>
                  <w:tblW w:w="31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2501"/>
                  <w:gridCol w:w="697"/>
                </w:tblGrid>
                <w:tr w:rsidR="003F13FB" w:rsidTr="00705C24">
                  <w:trPr>
                    <w:trHeight w:val="180"/>
                    <w:tblHeader/>
                    <w:jc w:val="right"/>
                  </w:trPr>
                  <w:tc>
                    <w:tcPr>
                      <w:tcW w:w="2501" w:type="dxa"/>
                      <w:vMerge w:val="restart"/>
                      <w:vAlign w:val="bottom"/>
                      <w:hideMark/>
                    </w:tcPr>
                    <w:p w:rsidR="003F13FB" w:rsidRPr="00C621B1" w:rsidRDefault="003F13FB" w:rsidP="00705C24">
                      <w:pPr>
                        <w:pStyle w:val="FooterAgency"/>
                        <w:ind w:left="609" w:right="-170" w:firstLine="87"/>
                        <w:jc w:val="center"/>
                        <w:rPr>
                          <w:sz w:val="10"/>
                          <w:szCs w:val="10"/>
                          <w:lang w:val="en-AU"/>
                        </w:rPr>
                      </w:pPr>
                      <w:r w:rsidRPr="00C621B1">
                        <w:rPr>
                          <w:sz w:val="10"/>
                          <w:szCs w:val="10"/>
                          <w:lang w:val="en-AU"/>
                        </w:rPr>
                        <w:t>An agency of the European Union</w:t>
                      </w:r>
                    </w:p>
                  </w:tc>
                  <w:tc>
                    <w:tcPr>
                      <w:tcW w:w="697" w:type="dxa"/>
                      <w:vMerge w:val="restart"/>
                      <w:tcMar>
                        <w:top w:w="0" w:type="dxa"/>
                        <w:left w:w="108" w:type="dxa"/>
                        <w:bottom w:w="0" w:type="dxa"/>
                        <w:right w:w="6" w:type="dxa"/>
                      </w:tcMar>
                      <w:vAlign w:val="bottom"/>
                      <w:hideMark/>
                    </w:tcPr>
                    <w:p w:rsidR="003F13FB" w:rsidRDefault="003F13FB" w:rsidP="00C621B1">
                      <w:pPr>
                        <w:pStyle w:val="FooterAgency"/>
                        <w:ind w:left="-115" w:right="-74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87350" cy="263525"/>
                            <wp:effectExtent l="0" t="0" r="0" b="3175"/>
                            <wp:docPr id="18" name="Εικόνα 18" descr="E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 descr="E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3F13FB" w:rsidTr="00705C24">
                  <w:trPr>
                    <w:trHeight w:hRule="exact" w:val="390"/>
                    <w:jc w:val="right"/>
                  </w:trPr>
                  <w:tc>
                    <w:tcPr>
                      <w:tcW w:w="2501" w:type="dxa"/>
                      <w:vMerge/>
                      <w:vAlign w:val="center"/>
                      <w:hideMark/>
                    </w:tcPr>
                    <w:p w:rsidR="003F13FB" w:rsidRDefault="003F13FB" w:rsidP="007B141C">
                      <w:pPr>
                        <w:rPr>
                          <w:rFonts w:ascii="Verdana" w:hAnsi="Verdana"/>
                          <w:color w:val="6D6F71"/>
                          <w:sz w:val="14"/>
                          <w:lang w:val="en-GB" w:eastAsia="fr-LU"/>
                        </w:rPr>
                      </w:pPr>
                    </w:p>
                  </w:tc>
                  <w:tc>
                    <w:tcPr>
                      <w:tcW w:w="697" w:type="dxa"/>
                      <w:vMerge/>
                      <w:vAlign w:val="center"/>
                      <w:hideMark/>
                    </w:tcPr>
                    <w:p w:rsidR="003F13FB" w:rsidRDefault="003F13FB" w:rsidP="007B141C">
                      <w:pPr>
                        <w:rPr>
                          <w:rFonts w:ascii="Verdana" w:hAnsi="Verdana"/>
                          <w:color w:val="6D6F71"/>
                          <w:sz w:val="14"/>
                          <w:lang w:val="en-GB" w:eastAsia="fr-LU"/>
                        </w:rPr>
                      </w:pPr>
                    </w:p>
                  </w:tc>
                </w:tr>
              </w:tbl>
              <w:p w:rsidR="003F13FB" w:rsidRDefault="003F13FB" w:rsidP="007B141C">
                <w:pPr>
                  <w:jc w:val="right"/>
                  <w:rPr>
                    <w:rFonts w:ascii="Times New Roman" w:hAnsi="Times New Roman"/>
                    <w:sz w:val="20"/>
                    <w:lang w:eastAsia="en-GB"/>
                  </w:rPr>
                </w:pPr>
              </w:p>
            </w:tc>
          </w:tr>
          <w:tr w:rsidR="003F13FB" w:rsidRPr="001F4507" w:rsidTr="00705C24">
            <w:trPr>
              <w:trHeight w:val="390"/>
            </w:trPr>
            <w:tc>
              <w:tcPr>
                <w:tcW w:w="637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tbl>
                <w:tblPr>
                  <w:tblW w:w="8492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8492"/>
                </w:tblGrid>
                <w:tr w:rsidR="003F13FB" w:rsidRPr="001F4507" w:rsidTr="00003025">
                  <w:trPr>
                    <w:trHeight w:val="198"/>
                  </w:trPr>
                  <w:tc>
                    <w:tcPr>
                      <w:tcW w:w="8492" w:type="dxa"/>
                      <w:vAlign w:val="bottom"/>
                      <w:hideMark/>
                    </w:tcPr>
                    <w:p w:rsidR="003F13FB" w:rsidRDefault="003F13FB" w:rsidP="007B141C">
                      <w:pPr>
                        <w:pStyle w:val="FooterAgency"/>
                        <w:rPr>
                          <w:lang w:val="en-GB" w:eastAsia="fr-LU"/>
                        </w:rPr>
                      </w:pPr>
                      <w:r w:rsidRPr="007B141C">
                        <w:rPr>
                          <w:b/>
                          <w:color w:val="003399"/>
                          <w:sz w:val="13"/>
                          <w:lang w:val="en-AU"/>
                        </w:rPr>
                        <w:t>Address for visits and deliveries</w:t>
                      </w:r>
                      <w:r w:rsidRPr="007B141C">
                        <w:rPr>
                          <w:lang w:val="en-AU"/>
                        </w:rPr>
                        <w:t xml:space="preserve">  Refer to </w:t>
                      </w:r>
                      <w:hyperlink r:id="rId2" w:history="1">
                        <w:r w:rsidRPr="007B141C">
                          <w:rPr>
                            <w:rStyle w:val="-"/>
                            <w:lang w:val="en-AU"/>
                          </w:rPr>
                          <w:t>www.ema.europa.eu/how-to-find-us</w:t>
                        </w:r>
                      </w:hyperlink>
                      <w:r w:rsidRPr="007B141C">
                        <w:rPr>
                          <w:lang w:val="en-AU"/>
                        </w:rPr>
                        <w:t xml:space="preserve"> </w:t>
                      </w:r>
                    </w:p>
                  </w:tc>
                </w:tr>
                <w:tr w:rsidR="003F13FB" w:rsidRPr="001F4507" w:rsidTr="003F13FB">
                  <w:trPr>
                    <w:trHeight w:hRule="exact" w:val="198"/>
                  </w:trPr>
                  <w:tc>
                    <w:tcPr>
                      <w:tcW w:w="8492" w:type="dxa"/>
                      <w:vAlign w:val="bottom"/>
                      <w:hideMark/>
                    </w:tcPr>
                    <w:p w:rsidR="003F13FB" w:rsidRPr="00003025" w:rsidRDefault="003F13FB" w:rsidP="00003025">
                      <w:pPr>
                        <w:pStyle w:val="FooterAgency"/>
                        <w:rPr>
                          <w:lang w:val="en-AU"/>
                        </w:rPr>
                      </w:pPr>
                      <w:r>
                        <w:rPr>
                          <w:rStyle w:val="FooterblueAgencyCharChar"/>
                          <w:lang w:val="en-AU"/>
                        </w:rPr>
                        <w:t xml:space="preserve">Send us a question </w:t>
                      </w:r>
                      <w:r w:rsidRPr="007B141C">
                        <w:rPr>
                          <w:lang w:val="en-AU"/>
                        </w:rPr>
                        <w:t xml:space="preserve">Go to </w:t>
                      </w:r>
                      <w:hyperlink r:id="rId3" w:history="1">
                        <w:r w:rsidRPr="007B141C">
                          <w:rPr>
                            <w:rStyle w:val="-"/>
                            <w:lang w:val="en-AU"/>
                          </w:rPr>
                          <w:t>www.ema.europa.eu/contact</w:t>
                        </w:r>
                      </w:hyperlink>
                      <w:r w:rsidRPr="007B141C">
                        <w:rPr>
                          <w:lang w:val="en-AU"/>
                        </w:rPr>
                        <w:t xml:space="preserve"> </w:t>
                      </w:r>
                      <w:r w:rsidRPr="00003025">
                        <w:rPr>
                          <w:lang w:val="en-AU"/>
                        </w:rPr>
                        <w:t>Telephone</w:t>
                      </w:r>
                      <w:r w:rsidRPr="00003025">
                        <w:rPr>
                          <w:b/>
                          <w:lang w:val="en-AU"/>
                        </w:rPr>
                        <w:t xml:space="preserve"> +31 (0)88 781 6000</w:t>
                      </w:r>
                    </w:p>
                  </w:tc>
                </w:tr>
              </w:tbl>
              <w:p w:rsidR="003F13FB" w:rsidRPr="00003025" w:rsidRDefault="003F13FB" w:rsidP="007B141C">
                <w:pPr>
                  <w:rPr>
                    <w:rFonts w:ascii="Times New Roman" w:hAnsi="Times New Roman"/>
                    <w:sz w:val="20"/>
                    <w:lang w:val="en-AU" w:eastAsia="en-GB"/>
                  </w:rPr>
                </w:pPr>
              </w:p>
            </w:tc>
            <w:tc>
              <w:tcPr>
                <w:tcW w:w="2403" w:type="dxa"/>
                <w:vMerge/>
                <w:vAlign w:val="center"/>
                <w:hideMark/>
              </w:tcPr>
              <w:p w:rsidR="003F13FB" w:rsidRDefault="003F13FB" w:rsidP="007B141C">
                <w:pPr>
                  <w:rPr>
                    <w:rFonts w:ascii="Times New Roman" w:hAnsi="Times New Roman"/>
                    <w:sz w:val="20"/>
                    <w:lang w:val="en-GB" w:eastAsia="en-GB"/>
                  </w:rPr>
                </w:pPr>
              </w:p>
            </w:tc>
          </w:tr>
        </w:tbl>
        <w:p w:rsidR="003F13FB" w:rsidRPr="007B141C" w:rsidRDefault="003F13FB" w:rsidP="007B141C">
          <w:pPr>
            <w:rPr>
              <w:rFonts w:ascii="Times New Roman" w:hAnsi="Times New Roman"/>
              <w:sz w:val="20"/>
              <w:lang w:val="en-AU" w:eastAsia="en-GB"/>
            </w:rPr>
          </w:pPr>
        </w:p>
      </w:tc>
    </w:tr>
  </w:tbl>
  <w:p w:rsidR="003F13FB" w:rsidRPr="007B141C" w:rsidRDefault="003F13FB">
    <w:pPr>
      <w:pStyle w:val="a4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A9" w:rsidRDefault="003450A9" w:rsidP="00DA0DA5">
      <w:pPr>
        <w:spacing w:after="0" w:line="240" w:lineRule="auto"/>
      </w:pPr>
      <w:r>
        <w:separator/>
      </w:r>
    </w:p>
  </w:footnote>
  <w:footnote w:type="continuationSeparator" w:id="0">
    <w:p w:rsidR="003450A9" w:rsidRDefault="003450A9" w:rsidP="00DA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FB" w:rsidRDefault="003F13FB" w:rsidP="0069752C">
    <w:pPr>
      <w:pStyle w:val="a3"/>
      <w:jc w:val="center"/>
    </w:pPr>
    <w:r>
      <w:rPr>
        <w:noProof/>
        <w:lang w:eastAsia="el-GR"/>
      </w:rPr>
      <w:drawing>
        <wp:inline distT="0" distB="0" distL="0" distR="0" wp14:anchorId="38EF3F7A" wp14:editId="4D63109F">
          <wp:extent cx="3554095" cy="1792605"/>
          <wp:effectExtent l="0" t="0" r="8255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">
    <w:nsid w:val="23F94054"/>
    <w:multiLevelType w:val="multilevel"/>
    <w:tmpl w:val="A02E932A"/>
    <w:numStyleLink w:val="BulletsAgency"/>
  </w:abstractNum>
  <w:abstractNum w:abstractNumId="3">
    <w:nsid w:val="52501AD7"/>
    <w:multiLevelType w:val="multilevel"/>
    <w:tmpl w:val="7614763A"/>
    <w:numStyleLink w:val="NumberlistAgency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A5"/>
    <w:rsid w:val="00003025"/>
    <w:rsid w:val="001414FA"/>
    <w:rsid w:val="001B6E00"/>
    <w:rsid w:val="001F4507"/>
    <w:rsid w:val="002034AB"/>
    <w:rsid w:val="002A28DD"/>
    <w:rsid w:val="002A41BB"/>
    <w:rsid w:val="003450A9"/>
    <w:rsid w:val="00347F03"/>
    <w:rsid w:val="0036482C"/>
    <w:rsid w:val="003656F2"/>
    <w:rsid w:val="00374731"/>
    <w:rsid w:val="003A1D1B"/>
    <w:rsid w:val="003F13FB"/>
    <w:rsid w:val="004867B7"/>
    <w:rsid w:val="0055168C"/>
    <w:rsid w:val="00595BB5"/>
    <w:rsid w:val="006004C4"/>
    <w:rsid w:val="00642C7A"/>
    <w:rsid w:val="0069752C"/>
    <w:rsid w:val="006B7639"/>
    <w:rsid w:val="00705C24"/>
    <w:rsid w:val="00762755"/>
    <w:rsid w:val="00781B97"/>
    <w:rsid w:val="007B141C"/>
    <w:rsid w:val="00957C32"/>
    <w:rsid w:val="0098308B"/>
    <w:rsid w:val="0099155D"/>
    <w:rsid w:val="009C1AA4"/>
    <w:rsid w:val="009D1E11"/>
    <w:rsid w:val="009E3694"/>
    <w:rsid w:val="009E69B4"/>
    <w:rsid w:val="009F0049"/>
    <w:rsid w:val="00A12A95"/>
    <w:rsid w:val="00AA3A85"/>
    <w:rsid w:val="00AE47A8"/>
    <w:rsid w:val="00B219F9"/>
    <w:rsid w:val="00B7547A"/>
    <w:rsid w:val="00B76620"/>
    <w:rsid w:val="00BF45B4"/>
    <w:rsid w:val="00C621B1"/>
    <w:rsid w:val="00CF6F88"/>
    <w:rsid w:val="00DA0DA5"/>
    <w:rsid w:val="00DF4E56"/>
    <w:rsid w:val="00DF4EAA"/>
    <w:rsid w:val="00E239CD"/>
    <w:rsid w:val="00F2472D"/>
    <w:rsid w:val="00F4492F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Agency">
    <w:name w:val="Ref. (Agency)"/>
    <w:basedOn w:val="a"/>
    <w:qFormat/>
    <w:rsid w:val="00DA0DA5"/>
    <w:pPr>
      <w:spacing w:after="0" w:line="240" w:lineRule="auto"/>
    </w:pPr>
    <w:rPr>
      <w:rFonts w:ascii="Verdana" w:eastAsia="Times New Roman" w:hAnsi="Verdana" w:cs="Times New Roman"/>
      <w:sz w:val="17"/>
      <w:szCs w:val="18"/>
      <w:lang w:val="en-GB" w:eastAsia="en-GB"/>
    </w:rPr>
  </w:style>
  <w:style w:type="paragraph" w:customStyle="1" w:styleId="DocsubtitleAgency">
    <w:name w:val="Doc subtitle (Agency)"/>
    <w:basedOn w:val="a"/>
    <w:next w:val="a"/>
    <w:qFormat/>
    <w:rsid w:val="00DA0DA5"/>
    <w:pPr>
      <w:spacing w:after="640" w:line="360" w:lineRule="atLeast"/>
    </w:pPr>
    <w:rPr>
      <w:rFonts w:ascii="Verdana" w:eastAsia="Verdana" w:hAnsi="Verdana" w:cs="Times New Roman"/>
      <w:sz w:val="24"/>
      <w:szCs w:val="24"/>
      <w:lang w:val="en-GB" w:eastAsia="en-GB"/>
    </w:rPr>
  </w:style>
  <w:style w:type="paragraph" w:customStyle="1" w:styleId="DoctitleAgency">
    <w:name w:val="Doc title (Agency)"/>
    <w:basedOn w:val="a"/>
    <w:next w:val="DocsubtitleAgency"/>
    <w:qFormat/>
    <w:rsid w:val="00DA0DA5"/>
    <w:pPr>
      <w:spacing w:before="720" w:after="0" w:line="360" w:lineRule="atLeast"/>
    </w:pPr>
    <w:rPr>
      <w:rFonts w:ascii="Verdana" w:eastAsia="Verdana" w:hAnsi="Verdana" w:cs="Times New Roman"/>
      <w:color w:val="003399"/>
      <w:sz w:val="32"/>
      <w:szCs w:val="32"/>
      <w:lang w:val="en-GB" w:eastAsia="en-GB"/>
    </w:rPr>
  </w:style>
  <w:style w:type="paragraph" w:customStyle="1" w:styleId="DoccategoryheadingAgency">
    <w:name w:val="Doc category heading (Agency)"/>
    <w:next w:val="a"/>
    <w:qFormat/>
    <w:rsid w:val="00DA0DA5"/>
    <w:pPr>
      <w:keepNext/>
      <w:pBdr>
        <w:bottom w:val="single" w:sz="4" w:space="1" w:color="auto"/>
      </w:pBdr>
      <w:spacing w:before="567" w:after="0" w:line="240" w:lineRule="auto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paragraph" w:customStyle="1" w:styleId="BodytextAgency">
    <w:name w:val="Body text (Agency)"/>
    <w:basedOn w:val="a"/>
    <w:link w:val="BodytextAgencyChar"/>
    <w:qFormat/>
    <w:rsid w:val="00DA0DA5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numbering" w:customStyle="1" w:styleId="BulletsAgency">
    <w:name w:val="Bullets (Agency)"/>
    <w:basedOn w:val="a2"/>
    <w:rsid w:val="00DA0DA5"/>
    <w:pPr>
      <w:numPr>
        <w:numId w:val="1"/>
      </w:numPr>
    </w:pPr>
  </w:style>
  <w:style w:type="numbering" w:customStyle="1" w:styleId="NumberlistAgency">
    <w:name w:val="Number list (Agency)"/>
    <w:basedOn w:val="a2"/>
    <w:rsid w:val="00DA0DA5"/>
    <w:pPr>
      <w:numPr>
        <w:numId w:val="2"/>
      </w:numPr>
    </w:pPr>
  </w:style>
  <w:style w:type="character" w:styleId="-">
    <w:name w:val="Hyperlink"/>
    <w:rsid w:val="00DA0DA5"/>
    <w:rPr>
      <w:color w:val="0000FF"/>
      <w:u w:val="single"/>
    </w:rPr>
  </w:style>
  <w:style w:type="character" w:customStyle="1" w:styleId="BodytextAgencyChar">
    <w:name w:val="Body text (Agency) Char"/>
    <w:link w:val="BodytextAgency"/>
    <w:rsid w:val="00DA0DA5"/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56F2"/>
  </w:style>
  <w:style w:type="paragraph" w:styleId="a4">
    <w:name w:val="footer"/>
    <w:basedOn w:val="a"/>
    <w:link w:val="Char0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56F2"/>
  </w:style>
  <w:style w:type="character" w:customStyle="1" w:styleId="FooterAgencyCharChar">
    <w:name w:val="Footer (Agency) Char Char"/>
    <w:link w:val="FooterAgency"/>
    <w:locked/>
    <w:rsid w:val="00781B97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Agency">
    <w:name w:val="Footer (Agency)"/>
    <w:basedOn w:val="a"/>
    <w:link w:val="FooterAgencyCharChar"/>
    <w:rsid w:val="00781B97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locked/>
    <w:rsid w:val="00781B97"/>
    <w:rPr>
      <w:rFonts w:ascii="Verdana" w:eastAsia="Verdana" w:hAnsi="Verdana" w:cs="Verdana"/>
      <w:b/>
      <w:color w:val="003399"/>
      <w:sz w:val="13"/>
      <w:szCs w:val="14"/>
    </w:rPr>
  </w:style>
  <w:style w:type="paragraph" w:customStyle="1" w:styleId="FooterblueAgency">
    <w:name w:val="Footer blue (Agency)"/>
    <w:basedOn w:val="a"/>
    <w:link w:val="FooterblueAgencyCharChar"/>
    <w:rsid w:val="00781B97"/>
    <w:pPr>
      <w:spacing w:after="0" w:line="240" w:lineRule="auto"/>
    </w:pPr>
    <w:rPr>
      <w:rFonts w:ascii="Verdana" w:eastAsia="Verdana" w:hAnsi="Verdana" w:cs="Verdana"/>
      <w:b/>
      <w:color w:val="003399"/>
      <w:sz w:val="13"/>
      <w:szCs w:val="14"/>
    </w:rPr>
  </w:style>
  <w:style w:type="character" w:styleId="-0">
    <w:name w:val="FollowedHyperlink"/>
    <w:basedOn w:val="a0"/>
    <w:uiPriority w:val="99"/>
    <w:semiHidden/>
    <w:unhideWhenUsed/>
    <w:rsid w:val="0069752C"/>
    <w:rPr>
      <w:color w:val="800080" w:themeColor="followedHyperlink"/>
      <w:u w:val="single"/>
    </w:rPr>
  </w:style>
  <w:style w:type="character" w:customStyle="1" w:styleId="PagenumberAgencyCharChar">
    <w:name w:val="Page number (Agency) Char Char"/>
    <w:link w:val="PagenumberAgency"/>
    <w:semiHidden/>
    <w:locked/>
    <w:rsid w:val="00003025"/>
    <w:rPr>
      <w:rFonts w:ascii="Verdana" w:eastAsia="Verdana" w:hAnsi="Verdana"/>
      <w:color w:val="6D6F71"/>
      <w:sz w:val="14"/>
      <w:szCs w:val="14"/>
    </w:rPr>
  </w:style>
  <w:style w:type="paragraph" w:customStyle="1" w:styleId="PagenumberAgency">
    <w:name w:val="Page number (Agency)"/>
    <w:basedOn w:val="a"/>
    <w:next w:val="a"/>
    <w:link w:val="PagenumberAgencyCharChar"/>
    <w:semiHidden/>
    <w:rsid w:val="00003025"/>
    <w:pPr>
      <w:tabs>
        <w:tab w:val="right" w:pos="9781"/>
      </w:tabs>
      <w:spacing w:after="0" w:line="240" w:lineRule="auto"/>
      <w:jc w:val="right"/>
    </w:pPr>
    <w:rPr>
      <w:rFonts w:ascii="Verdana" w:eastAsia="Verdana" w:hAnsi="Verdana"/>
      <w:color w:val="6D6F71"/>
      <w:sz w:val="14"/>
      <w:szCs w:val="14"/>
    </w:rPr>
  </w:style>
  <w:style w:type="paragraph" w:customStyle="1" w:styleId="No-numheading5Agency">
    <w:name w:val="No-num heading 5 (Agency)"/>
    <w:basedOn w:val="a"/>
    <w:next w:val="BodytextAgency"/>
    <w:rsid w:val="00595BB5"/>
    <w:pPr>
      <w:keepNext/>
      <w:spacing w:before="280" w:after="220" w:line="240" w:lineRule="auto"/>
      <w:outlineLvl w:val="4"/>
    </w:pPr>
    <w:rPr>
      <w:rFonts w:ascii="Verdana" w:eastAsia="Times New Roman" w:hAnsi="Verdana" w:cs="Times New Roman"/>
      <w:b/>
      <w:kern w:val="32"/>
      <w:sz w:val="18"/>
      <w:szCs w:val="20"/>
      <w:lang w:val="en-GB" w:eastAsia="fr-LU"/>
    </w:rPr>
  </w:style>
  <w:style w:type="paragraph" w:styleId="a5">
    <w:name w:val="Balloon Text"/>
    <w:basedOn w:val="a"/>
    <w:link w:val="Char1"/>
    <w:uiPriority w:val="99"/>
    <w:semiHidden/>
    <w:unhideWhenUsed/>
    <w:rsid w:val="00B7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Agency">
    <w:name w:val="Ref. (Agency)"/>
    <w:basedOn w:val="a"/>
    <w:qFormat/>
    <w:rsid w:val="00DA0DA5"/>
    <w:pPr>
      <w:spacing w:after="0" w:line="240" w:lineRule="auto"/>
    </w:pPr>
    <w:rPr>
      <w:rFonts w:ascii="Verdana" w:eastAsia="Times New Roman" w:hAnsi="Verdana" w:cs="Times New Roman"/>
      <w:sz w:val="17"/>
      <w:szCs w:val="18"/>
      <w:lang w:val="en-GB" w:eastAsia="en-GB"/>
    </w:rPr>
  </w:style>
  <w:style w:type="paragraph" w:customStyle="1" w:styleId="DocsubtitleAgency">
    <w:name w:val="Doc subtitle (Agency)"/>
    <w:basedOn w:val="a"/>
    <w:next w:val="a"/>
    <w:qFormat/>
    <w:rsid w:val="00DA0DA5"/>
    <w:pPr>
      <w:spacing w:after="640" w:line="360" w:lineRule="atLeast"/>
    </w:pPr>
    <w:rPr>
      <w:rFonts w:ascii="Verdana" w:eastAsia="Verdana" w:hAnsi="Verdana" w:cs="Times New Roman"/>
      <w:sz w:val="24"/>
      <w:szCs w:val="24"/>
      <w:lang w:val="en-GB" w:eastAsia="en-GB"/>
    </w:rPr>
  </w:style>
  <w:style w:type="paragraph" w:customStyle="1" w:styleId="DoctitleAgency">
    <w:name w:val="Doc title (Agency)"/>
    <w:basedOn w:val="a"/>
    <w:next w:val="DocsubtitleAgency"/>
    <w:qFormat/>
    <w:rsid w:val="00DA0DA5"/>
    <w:pPr>
      <w:spacing w:before="720" w:after="0" w:line="360" w:lineRule="atLeast"/>
    </w:pPr>
    <w:rPr>
      <w:rFonts w:ascii="Verdana" w:eastAsia="Verdana" w:hAnsi="Verdana" w:cs="Times New Roman"/>
      <w:color w:val="003399"/>
      <w:sz w:val="32"/>
      <w:szCs w:val="32"/>
      <w:lang w:val="en-GB" w:eastAsia="en-GB"/>
    </w:rPr>
  </w:style>
  <w:style w:type="paragraph" w:customStyle="1" w:styleId="DoccategoryheadingAgency">
    <w:name w:val="Doc category heading (Agency)"/>
    <w:next w:val="a"/>
    <w:qFormat/>
    <w:rsid w:val="00DA0DA5"/>
    <w:pPr>
      <w:keepNext/>
      <w:pBdr>
        <w:bottom w:val="single" w:sz="4" w:space="1" w:color="auto"/>
      </w:pBdr>
      <w:spacing w:before="567" w:after="0" w:line="240" w:lineRule="auto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paragraph" w:customStyle="1" w:styleId="BodytextAgency">
    <w:name w:val="Body text (Agency)"/>
    <w:basedOn w:val="a"/>
    <w:link w:val="BodytextAgencyChar"/>
    <w:qFormat/>
    <w:rsid w:val="00DA0DA5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numbering" w:customStyle="1" w:styleId="BulletsAgency">
    <w:name w:val="Bullets (Agency)"/>
    <w:basedOn w:val="a2"/>
    <w:rsid w:val="00DA0DA5"/>
    <w:pPr>
      <w:numPr>
        <w:numId w:val="1"/>
      </w:numPr>
    </w:pPr>
  </w:style>
  <w:style w:type="numbering" w:customStyle="1" w:styleId="NumberlistAgency">
    <w:name w:val="Number list (Agency)"/>
    <w:basedOn w:val="a2"/>
    <w:rsid w:val="00DA0DA5"/>
    <w:pPr>
      <w:numPr>
        <w:numId w:val="2"/>
      </w:numPr>
    </w:pPr>
  </w:style>
  <w:style w:type="character" w:styleId="-">
    <w:name w:val="Hyperlink"/>
    <w:rsid w:val="00DA0DA5"/>
    <w:rPr>
      <w:color w:val="0000FF"/>
      <w:u w:val="single"/>
    </w:rPr>
  </w:style>
  <w:style w:type="character" w:customStyle="1" w:styleId="BodytextAgencyChar">
    <w:name w:val="Body text (Agency) Char"/>
    <w:link w:val="BodytextAgency"/>
    <w:rsid w:val="00DA0DA5"/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56F2"/>
  </w:style>
  <w:style w:type="paragraph" w:styleId="a4">
    <w:name w:val="footer"/>
    <w:basedOn w:val="a"/>
    <w:link w:val="Char0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56F2"/>
  </w:style>
  <w:style w:type="character" w:customStyle="1" w:styleId="FooterAgencyCharChar">
    <w:name w:val="Footer (Agency) Char Char"/>
    <w:link w:val="FooterAgency"/>
    <w:locked/>
    <w:rsid w:val="00781B97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Agency">
    <w:name w:val="Footer (Agency)"/>
    <w:basedOn w:val="a"/>
    <w:link w:val="FooterAgencyCharChar"/>
    <w:rsid w:val="00781B97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locked/>
    <w:rsid w:val="00781B97"/>
    <w:rPr>
      <w:rFonts w:ascii="Verdana" w:eastAsia="Verdana" w:hAnsi="Verdana" w:cs="Verdana"/>
      <w:b/>
      <w:color w:val="003399"/>
      <w:sz w:val="13"/>
      <w:szCs w:val="14"/>
    </w:rPr>
  </w:style>
  <w:style w:type="paragraph" w:customStyle="1" w:styleId="FooterblueAgency">
    <w:name w:val="Footer blue (Agency)"/>
    <w:basedOn w:val="a"/>
    <w:link w:val="FooterblueAgencyCharChar"/>
    <w:rsid w:val="00781B97"/>
    <w:pPr>
      <w:spacing w:after="0" w:line="240" w:lineRule="auto"/>
    </w:pPr>
    <w:rPr>
      <w:rFonts w:ascii="Verdana" w:eastAsia="Verdana" w:hAnsi="Verdana" w:cs="Verdana"/>
      <w:b/>
      <w:color w:val="003399"/>
      <w:sz w:val="13"/>
      <w:szCs w:val="14"/>
    </w:rPr>
  </w:style>
  <w:style w:type="character" w:styleId="-0">
    <w:name w:val="FollowedHyperlink"/>
    <w:basedOn w:val="a0"/>
    <w:uiPriority w:val="99"/>
    <w:semiHidden/>
    <w:unhideWhenUsed/>
    <w:rsid w:val="0069752C"/>
    <w:rPr>
      <w:color w:val="800080" w:themeColor="followedHyperlink"/>
      <w:u w:val="single"/>
    </w:rPr>
  </w:style>
  <w:style w:type="character" w:customStyle="1" w:styleId="PagenumberAgencyCharChar">
    <w:name w:val="Page number (Agency) Char Char"/>
    <w:link w:val="PagenumberAgency"/>
    <w:semiHidden/>
    <w:locked/>
    <w:rsid w:val="00003025"/>
    <w:rPr>
      <w:rFonts w:ascii="Verdana" w:eastAsia="Verdana" w:hAnsi="Verdana"/>
      <w:color w:val="6D6F71"/>
      <w:sz w:val="14"/>
      <w:szCs w:val="14"/>
    </w:rPr>
  </w:style>
  <w:style w:type="paragraph" w:customStyle="1" w:styleId="PagenumberAgency">
    <w:name w:val="Page number (Agency)"/>
    <w:basedOn w:val="a"/>
    <w:next w:val="a"/>
    <w:link w:val="PagenumberAgencyCharChar"/>
    <w:semiHidden/>
    <w:rsid w:val="00003025"/>
    <w:pPr>
      <w:tabs>
        <w:tab w:val="right" w:pos="9781"/>
      </w:tabs>
      <w:spacing w:after="0" w:line="240" w:lineRule="auto"/>
      <w:jc w:val="right"/>
    </w:pPr>
    <w:rPr>
      <w:rFonts w:ascii="Verdana" w:eastAsia="Verdana" w:hAnsi="Verdana"/>
      <w:color w:val="6D6F71"/>
      <w:sz w:val="14"/>
      <w:szCs w:val="14"/>
    </w:rPr>
  </w:style>
  <w:style w:type="paragraph" w:customStyle="1" w:styleId="No-numheading5Agency">
    <w:name w:val="No-num heading 5 (Agency)"/>
    <w:basedOn w:val="a"/>
    <w:next w:val="BodytextAgency"/>
    <w:rsid w:val="00595BB5"/>
    <w:pPr>
      <w:keepNext/>
      <w:spacing w:before="280" w:after="220" w:line="240" w:lineRule="auto"/>
      <w:outlineLvl w:val="4"/>
    </w:pPr>
    <w:rPr>
      <w:rFonts w:ascii="Verdana" w:eastAsia="Times New Roman" w:hAnsi="Verdana" w:cs="Times New Roman"/>
      <w:b/>
      <w:kern w:val="32"/>
      <w:sz w:val="18"/>
      <w:szCs w:val="20"/>
      <w:lang w:val="en-GB" w:eastAsia="fr-LU"/>
    </w:rPr>
  </w:style>
  <w:style w:type="paragraph" w:styleId="a5">
    <w:name w:val="Balloon Text"/>
    <w:basedOn w:val="a"/>
    <w:link w:val="Char1"/>
    <w:uiPriority w:val="99"/>
    <w:semiHidden/>
    <w:unhideWhenUsed/>
    <w:rsid w:val="00B7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news/call-pool-research-resources-large-multi-centre-multi-arm-clinical-trials-generate-sound-evidenc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ma.europa.eu/en/human-regulatory/research-development/compassionate-u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health/files/eudralex/vol-1/reg_2004_726/reg_2004_726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a.europa.eu/en/documents/other/conditions-use-conditions-distribution-patients-targeted-conditions-safety-monitoring-adressed_en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other/summary-compassionate-use-remdesivir-gilead_en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a.europa.eu/contact" TargetMode="External"/><Relationship Id="rId2" Type="http://schemas.openxmlformats.org/officeDocument/2006/relationships/hyperlink" Target="http://www.ema.europa.eu/how-to-find-u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ΣΙΑΒΕΛΗ ΣΤΑΜΑΤΙΝΑ</dc:creator>
  <cp:lastModifiedBy>GP</cp:lastModifiedBy>
  <cp:revision>2</cp:revision>
  <dcterms:created xsi:type="dcterms:W3CDTF">2020-04-06T07:30:00Z</dcterms:created>
  <dcterms:modified xsi:type="dcterms:W3CDTF">2020-04-06T07:30:00Z</dcterms:modified>
</cp:coreProperties>
</file>