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6842" w14:textId="34955749" w:rsidR="00010071" w:rsidRPr="004769C5" w:rsidRDefault="00010071" w:rsidP="00010071">
      <w:pPr>
        <w:pBdr>
          <w:top w:val="single" w:sz="4" w:space="1" w:color="auto"/>
          <w:bottom w:val="single" w:sz="4" w:space="1" w:color="auto"/>
        </w:pBdr>
        <w:spacing w:after="0" w:line="240" w:lineRule="auto"/>
        <w:jc w:val="center"/>
        <w:rPr>
          <w:rFonts w:ascii="Segoe UI" w:hAnsi="Segoe UI" w:cs="Segoe UI"/>
          <w:b/>
          <w:bCs/>
          <w:sz w:val="24"/>
          <w:szCs w:val="24"/>
          <w:lang w:val="en-US" w:eastAsia="el-GR"/>
        </w:rPr>
      </w:pPr>
      <w:r w:rsidRPr="004769C5">
        <w:rPr>
          <w:rFonts w:ascii="Segoe UI" w:hAnsi="Segoe UI" w:cs="Segoe UI"/>
          <w:b/>
          <w:bCs/>
          <w:sz w:val="24"/>
          <w:szCs w:val="24"/>
          <w:lang w:val="en-GB" w:eastAsia="el-GR"/>
        </w:rPr>
        <w:t xml:space="preserve">May 20, </w:t>
      </w:r>
      <w:r w:rsidRPr="004769C5">
        <w:rPr>
          <w:rFonts w:ascii="Segoe UI" w:hAnsi="Segoe UI" w:cs="Segoe UI"/>
          <w:b/>
          <w:bCs/>
          <w:sz w:val="24"/>
          <w:szCs w:val="24"/>
          <w:lang w:val="en-US" w:eastAsia="el-GR"/>
        </w:rPr>
        <w:t xml:space="preserve">2020: </w:t>
      </w:r>
      <w:r w:rsidR="004769C5" w:rsidRPr="004769C5">
        <w:rPr>
          <w:rFonts w:ascii="Segoe UI" w:hAnsi="Segoe UI" w:cs="Segoe UI"/>
          <w:b/>
          <w:bCs/>
          <w:sz w:val="24"/>
          <w:szCs w:val="24"/>
          <w:lang w:val="en-US" w:eastAsia="el-GR"/>
        </w:rPr>
        <w:t xml:space="preserve"> International </w:t>
      </w:r>
      <w:r w:rsidRPr="004769C5">
        <w:rPr>
          <w:rFonts w:ascii="Segoe UI" w:hAnsi="Segoe UI" w:cs="Segoe UI"/>
          <w:b/>
          <w:bCs/>
          <w:sz w:val="24"/>
          <w:szCs w:val="24"/>
          <w:lang w:val="en-GB" w:eastAsia="el-GR"/>
        </w:rPr>
        <w:t xml:space="preserve">Clinical Trials Day </w:t>
      </w:r>
    </w:p>
    <w:p w14:paraId="77F773AE" w14:textId="5F375C73" w:rsidR="00010071" w:rsidRPr="004769C5" w:rsidRDefault="00010071" w:rsidP="00010071">
      <w:pPr>
        <w:pBdr>
          <w:top w:val="single" w:sz="4" w:space="1" w:color="auto"/>
          <w:bottom w:val="single" w:sz="4" w:space="1" w:color="auto"/>
        </w:pBdr>
        <w:spacing w:after="0" w:line="240" w:lineRule="auto"/>
        <w:jc w:val="center"/>
        <w:rPr>
          <w:rFonts w:ascii="Segoe UI" w:hAnsi="Segoe UI" w:cs="Segoe UI"/>
          <w:b/>
          <w:bCs/>
          <w:sz w:val="24"/>
          <w:szCs w:val="24"/>
          <w:lang w:val="en-US" w:eastAsia="el-GR"/>
        </w:rPr>
      </w:pPr>
      <w:r w:rsidRPr="004769C5">
        <w:rPr>
          <w:rFonts w:ascii="Segoe UI" w:hAnsi="Segoe UI" w:cs="Segoe UI"/>
          <w:b/>
          <w:bCs/>
          <w:sz w:val="24"/>
          <w:szCs w:val="24"/>
          <w:lang w:val="en-GB" w:eastAsia="el-GR"/>
        </w:rPr>
        <w:t xml:space="preserve">Clinical Trial </w:t>
      </w:r>
      <w:r w:rsidR="004769C5" w:rsidRPr="004769C5">
        <w:rPr>
          <w:rFonts w:ascii="Segoe UI" w:hAnsi="Segoe UI" w:cs="Segoe UI"/>
          <w:b/>
          <w:bCs/>
          <w:sz w:val="24"/>
          <w:szCs w:val="24"/>
          <w:lang w:val="en-GB" w:eastAsia="el-GR"/>
        </w:rPr>
        <w:t>a</w:t>
      </w:r>
      <w:r w:rsidRPr="004769C5">
        <w:rPr>
          <w:rFonts w:ascii="Segoe UI" w:hAnsi="Segoe UI" w:cs="Segoe UI"/>
          <w:b/>
          <w:bCs/>
          <w:sz w:val="24"/>
          <w:szCs w:val="24"/>
          <w:lang w:val="en-GB" w:eastAsia="el-GR"/>
        </w:rPr>
        <w:t xml:space="preserve">s a valuable </w:t>
      </w:r>
      <w:r w:rsidRPr="004769C5">
        <w:rPr>
          <w:rFonts w:ascii="Segoe UI" w:hAnsi="Segoe UI" w:cs="Segoe UI"/>
          <w:b/>
          <w:bCs/>
          <w:sz w:val="24"/>
          <w:szCs w:val="24"/>
          <w:lang w:val="en-US" w:eastAsia="el-GR"/>
        </w:rPr>
        <w:t>“</w:t>
      </w:r>
      <w:r w:rsidRPr="004769C5">
        <w:rPr>
          <w:rFonts w:ascii="Segoe UI" w:hAnsi="Segoe UI" w:cs="Segoe UI"/>
          <w:b/>
          <w:bCs/>
          <w:sz w:val="24"/>
          <w:szCs w:val="24"/>
          <w:lang w:val="en-GB" w:eastAsia="el-GR"/>
        </w:rPr>
        <w:t xml:space="preserve">weapon” in the fight against </w:t>
      </w:r>
      <w:r w:rsidRPr="004769C5">
        <w:rPr>
          <w:rFonts w:ascii="Segoe UI" w:hAnsi="Segoe UI" w:cs="Segoe UI"/>
          <w:b/>
          <w:bCs/>
          <w:sz w:val="24"/>
          <w:szCs w:val="24"/>
          <w:lang w:val="en-US" w:eastAsia="el-GR"/>
        </w:rPr>
        <w:t xml:space="preserve">COVID-19 </w:t>
      </w:r>
      <w:r w:rsidRPr="004769C5">
        <w:rPr>
          <w:rFonts w:ascii="Segoe UI" w:hAnsi="Segoe UI" w:cs="Segoe UI"/>
          <w:b/>
          <w:bCs/>
          <w:sz w:val="24"/>
          <w:szCs w:val="24"/>
          <w:lang w:val="en-GB" w:eastAsia="el-GR"/>
        </w:rPr>
        <w:t>for</w:t>
      </w:r>
      <w:r w:rsidRPr="004769C5">
        <w:rPr>
          <w:rFonts w:ascii="Segoe UI" w:hAnsi="Segoe UI" w:cs="Segoe UI"/>
          <w:b/>
          <w:bCs/>
          <w:sz w:val="24"/>
          <w:szCs w:val="24"/>
          <w:lang w:val="en-US" w:eastAsia="el-GR"/>
        </w:rPr>
        <w:t xml:space="preserve"> a b</w:t>
      </w:r>
      <w:r w:rsidR="004769C5">
        <w:rPr>
          <w:rFonts w:ascii="Segoe UI" w:hAnsi="Segoe UI" w:cs="Segoe UI"/>
          <w:b/>
          <w:bCs/>
          <w:sz w:val="24"/>
          <w:szCs w:val="24"/>
          <w:lang w:val="en-US" w:eastAsia="el-GR"/>
        </w:rPr>
        <w:t>righter</w:t>
      </w:r>
      <w:r w:rsidRPr="004769C5">
        <w:rPr>
          <w:rFonts w:ascii="Segoe UI" w:hAnsi="Segoe UI" w:cs="Segoe UI"/>
          <w:b/>
          <w:bCs/>
          <w:sz w:val="24"/>
          <w:szCs w:val="24"/>
          <w:lang w:val="en-US" w:eastAsia="el-GR"/>
        </w:rPr>
        <w:t xml:space="preserve"> </w:t>
      </w:r>
      <w:r w:rsidR="004769C5">
        <w:rPr>
          <w:rFonts w:ascii="Segoe UI" w:hAnsi="Segoe UI" w:cs="Segoe UI"/>
          <w:b/>
          <w:bCs/>
          <w:sz w:val="24"/>
          <w:szCs w:val="24"/>
          <w:lang w:val="en-US" w:eastAsia="el-GR"/>
        </w:rPr>
        <w:t>tomorrow</w:t>
      </w:r>
    </w:p>
    <w:p w14:paraId="6B1DD3E4" w14:textId="77777777" w:rsidR="00010071" w:rsidRPr="004769C5" w:rsidRDefault="00010071" w:rsidP="00010071">
      <w:pPr>
        <w:spacing w:after="0" w:line="240" w:lineRule="auto"/>
        <w:jc w:val="center"/>
        <w:rPr>
          <w:rFonts w:ascii="Segoe UI" w:hAnsi="Segoe UI" w:cs="Segoe UI"/>
          <w:b/>
          <w:bCs/>
          <w:lang w:val="en-US" w:eastAsia="el-GR"/>
        </w:rPr>
      </w:pPr>
    </w:p>
    <w:p w14:paraId="7256D16E" w14:textId="18CE3D1B" w:rsidR="00010071" w:rsidRPr="004769C5" w:rsidRDefault="004769C5" w:rsidP="00010071">
      <w:pPr>
        <w:spacing w:before="120" w:after="120" w:line="240" w:lineRule="auto"/>
        <w:jc w:val="both"/>
        <w:rPr>
          <w:rFonts w:ascii="Segoe UI" w:hAnsi="Segoe UI" w:cs="Segoe UI"/>
          <w:lang w:val="en-GB"/>
        </w:rPr>
      </w:pPr>
      <w:r>
        <w:rPr>
          <w:rFonts w:ascii="Segoe UI" w:hAnsi="Segoe UI" w:cs="Segoe UI"/>
          <w:b/>
          <w:lang w:val="en-GB"/>
        </w:rPr>
        <w:t>H</w:t>
      </w:r>
      <w:r w:rsidR="00010071" w:rsidRPr="004769C5">
        <w:rPr>
          <w:rFonts w:ascii="Segoe UI" w:hAnsi="Segoe UI" w:cs="Segoe UI"/>
          <w:b/>
          <w:lang w:val="en-GB"/>
        </w:rPr>
        <w:t xml:space="preserve">alandri, </w:t>
      </w:r>
      <w:r w:rsidR="000B6929">
        <w:rPr>
          <w:rFonts w:ascii="Segoe UI" w:hAnsi="Segoe UI" w:cs="Segoe UI"/>
          <w:b/>
        </w:rPr>
        <w:t>18</w:t>
      </w:r>
      <w:r>
        <w:rPr>
          <w:rFonts w:ascii="Segoe UI" w:hAnsi="Segoe UI" w:cs="Segoe UI"/>
          <w:b/>
          <w:lang w:val="en-GB"/>
        </w:rPr>
        <w:t>.05.2020.</w:t>
      </w:r>
      <w:r w:rsidR="00010071" w:rsidRPr="004769C5">
        <w:rPr>
          <w:rFonts w:ascii="Segoe UI" w:hAnsi="Segoe UI" w:cs="Segoe UI"/>
          <w:b/>
          <w:lang w:val="en-GB"/>
        </w:rPr>
        <w:t xml:space="preserve">– </w:t>
      </w:r>
      <w:r w:rsidR="00010071" w:rsidRPr="004769C5">
        <w:rPr>
          <w:rFonts w:ascii="Segoe UI" w:hAnsi="Segoe UI" w:cs="Segoe UI"/>
          <w:lang w:val="en-GB"/>
        </w:rPr>
        <w:t xml:space="preserve">On the occasion of the </w:t>
      </w:r>
      <w:r>
        <w:rPr>
          <w:rFonts w:ascii="Segoe UI" w:hAnsi="Segoe UI" w:cs="Segoe UI"/>
          <w:lang w:val="en-GB"/>
        </w:rPr>
        <w:t xml:space="preserve">International </w:t>
      </w:r>
      <w:r w:rsidR="00010071" w:rsidRPr="004769C5">
        <w:rPr>
          <w:rFonts w:ascii="Segoe UI" w:hAnsi="Segoe UI" w:cs="Segoe UI"/>
          <w:lang w:val="en-GB"/>
        </w:rPr>
        <w:t>Clinical Trials Day (May 20</w:t>
      </w:r>
      <w:r w:rsidRPr="004769C5">
        <w:rPr>
          <w:rFonts w:ascii="Segoe UI" w:hAnsi="Segoe UI" w:cs="Segoe UI"/>
          <w:vertAlign w:val="superscript"/>
          <w:lang w:val="en-GB"/>
        </w:rPr>
        <w:t>th</w:t>
      </w:r>
      <w:r w:rsidR="00010071" w:rsidRPr="004769C5">
        <w:rPr>
          <w:rFonts w:ascii="Segoe UI" w:hAnsi="Segoe UI" w:cs="Segoe UI"/>
          <w:lang w:val="en-GB"/>
        </w:rPr>
        <w:t xml:space="preserve">) the Hellenic </w:t>
      </w:r>
      <w:r w:rsidRPr="004769C5">
        <w:rPr>
          <w:rFonts w:ascii="Segoe UI" w:hAnsi="Segoe UI" w:cs="Segoe UI"/>
          <w:lang w:val="en-GB"/>
        </w:rPr>
        <w:t xml:space="preserve">Association </w:t>
      </w:r>
      <w:r>
        <w:rPr>
          <w:rFonts w:ascii="Segoe UI" w:hAnsi="Segoe UI" w:cs="Segoe UI"/>
          <w:lang w:val="en-GB"/>
        </w:rPr>
        <w:t xml:space="preserve">of </w:t>
      </w:r>
      <w:r w:rsidR="00010071" w:rsidRPr="004769C5">
        <w:rPr>
          <w:rFonts w:ascii="Segoe UI" w:hAnsi="Segoe UI" w:cs="Segoe UI"/>
          <w:lang w:val="en-GB"/>
        </w:rPr>
        <w:t xml:space="preserve">Pharmaceutical </w:t>
      </w:r>
      <w:r>
        <w:rPr>
          <w:rFonts w:ascii="Segoe UI" w:hAnsi="Segoe UI" w:cs="Segoe UI"/>
          <w:lang w:val="en-GB"/>
        </w:rPr>
        <w:t>Companies</w:t>
      </w:r>
      <w:r w:rsidR="00010071" w:rsidRPr="004769C5">
        <w:rPr>
          <w:rFonts w:ascii="Segoe UI" w:hAnsi="Segoe UI" w:cs="Segoe UI"/>
          <w:lang w:val="en-GB"/>
        </w:rPr>
        <w:t xml:space="preserve"> (SFEE) </w:t>
      </w:r>
      <w:r w:rsidR="00915F3E" w:rsidRPr="004769C5">
        <w:rPr>
          <w:rFonts w:ascii="Segoe UI" w:hAnsi="Segoe UI" w:cs="Segoe UI"/>
          <w:lang w:val="en-GB"/>
        </w:rPr>
        <w:t>stresses</w:t>
      </w:r>
      <w:r w:rsidR="00010071" w:rsidRPr="004769C5">
        <w:rPr>
          <w:rFonts w:ascii="Segoe UI" w:hAnsi="Segoe UI" w:cs="Segoe UI"/>
          <w:lang w:val="en-GB"/>
        </w:rPr>
        <w:t xml:space="preserve">, once again, the important role of Clinical </w:t>
      </w:r>
      <w:r w:rsidR="00B72555">
        <w:rPr>
          <w:rFonts w:ascii="Segoe UI" w:hAnsi="Segoe UI" w:cs="Segoe UI"/>
          <w:lang w:val="en-GB"/>
        </w:rPr>
        <w:t>Trials</w:t>
      </w:r>
      <w:r w:rsidR="00010071" w:rsidRPr="004769C5">
        <w:rPr>
          <w:rFonts w:ascii="Segoe UI" w:hAnsi="Segoe UI" w:cs="Segoe UI"/>
          <w:lang w:val="en-GB"/>
        </w:rPr>
        <w:t xml:space="preserve"> in the conquest of the</w:t>
      </w:r>
      <w:r w:rsidR="005D4272" w:rsidRPr="004769C5">
        <w:rPr>
          <w:rFonts w:ascii="Segoe UI" w:hAnsi="Segoe UI" w:cs="Segoe UI"/>
          <w:lang w:val="en-GB"/>
        </w:rPr>
        <w:t xml:space="preserve"> </w:t>
      </w:r>
      <w:r w:rsidR="00B350A5" w:rsidRPr="004769C5">
        <w:rPr>
          <w:rFonts w:ascii="Segoe UI" w:hAnsi="Segoe UI" w:cs="Segoe UI"/>
          <w:lang w:val="en-GB"/>
        </w:rPr>
        <w:t>boon</w:t>
      </w:r>
      <w:r w:rsidR="005D4272" w:rsidRPr="004769C5">
        <w:rPr>
          <w:rFonts w:ascii="Segoe UI" w:hAnsi="Segoe UI" w:cs="Segoe UI"/>
          <w:lang w:val="en-GB"/>
        </w:rPr>
        <w:t xml:space="preserve"> of</w:t>
      </w:r>
      <w:r w:rsidR="00010071" w:rsidRPr="004769C5">
        <w:rPr>
          <w:rFonts w:ascii="Segoe UI" w:hAnsi="Segoe UI" w:cs="Segoe UI"/>
          <w:lang w:val="en-GB"/>
        </w:rPr>
        <w:t xml:space="preserve"> Good Public Health</w:t>
      </w:r>
      <w:r w:rsidR="005D4272" w:rsidRPr="004769C5">
        <w:rPr>
          <w:rFonts w:ascii="Segoe UI" w:hAnsi="Segoe UI" w:cs="Segoe UI"/>
          <w:lang w:val="en-GB"/>
        </w:rPr>
        <w:t xml:space="preserve">. </w:t>
      </w:r>
      <w:r w:rsidR="00010071" w:rsidRPr="004769C5">
        <w:rPr>
          <w:rFonts w:ascii="Segoe UI" w:hAnsi="Segoe UI" w:cs="Segoe UI"/>
          <w:lang w:val="en-GB"/>
        </w:rPr>
        <w:t>All the more so</w:t>
      </w:r>
      <w:r w:rsidR="005D4272" w:rsidRPr="004769C5">
        <w:rPr>
          <w:rFonts w:ascii="Segoe UI" w:hAnsi="Segoe UI" w:cs="Segoe UI"/>
          <w:lang w:val="en-GB"/>
        </w:rPr>
        <w:t>,</w:t>
      </w:r>
      <w:r w:rsidR="00010071" w:rsidRPr="004769C5">
        <w:rPr>
          <w:rFonts w:ascii="Segoe UI" w:hAnsi="Segoe UI" w:cs="Segoe UI"/>
          <w:lang w:val="en-GB"/>
        </w:rPr>
        <w:t xml:space="preserve"> under the current conjecture, the importance of Clinical Research is validated</w:t>
      </w:r>
      <w:r w:rsidR="00FC5EB4" w:rsidRPr="004769C5">
        <w:rPr>
          <w:rFonts w:ascii="Segoe UI" w:hAnsi="Segoe UI" w:cs="Segoe UI"/>
          <w:lang w:val="en-GB"/>
        </w:rPr>
        <w:t xml:space="preserve"> </w:t>
      </w:r>
      <w:r w:rsidR="00010071" w:rsidRPr="004769C5">
        <w:rPr>
          <w:rFonts w:ascii="Segoe UI" w:hAnsi="Segoe UI" w:cs="Segoe UI"/>
          <w:lang w:val="en-GB"/>
        </w:rPr>
        <w:t xml:space="preserve">through the huge endeavour of a large number of clinical trials (more than 1000) </w:t>
      </w:r>
      <w:r w:rsidR="00FC5EB4" w:rsidRPr="004769C5">
        <w:rPr>
          <w:rFonts w:ascii="Segoe UI" w:hAnsi="Segoe UI" w:cs="Segoe UI"/>
          <w:lang w:val="en-GB"/>
        </w:rPr>
        <w:t xml:space="preserve">taking place worldwide, </w:t>
      </w:r>
      <w:r w:rsidR="00010071" w:rsidRPr="004769C5">
        <w:rPr>
          <w:rFonts w:ascii="Segoe UI" w:hAnsi="Segoe UI" w:cs="Segoe UI"/>
          <w:lang w:val="en-GB"/>
        </w:rPr>
        <w:t xml:space="preserve">with a view to fighting the pandemic and finding a vaccine and a cure for the COVID-19 disease. </w:t>
      </w:r>
    </w:p>
    <w:p w14:paraId="07AD4FB1" w14:textId="322F36A8" w:rsidR="00010071" w:rsidRPr="004769C5" w:rsidRDefault="00010071" w:rsidP="00010071">
      <w:pPr>
        <w:spacing w:before="120" w:after="120" w:line="240" w:lineRule="auto"/>
        <w:jc w:val="both"/>
        <w:rPr>
          <w:rFonts w:ascii="Segoe UI" w:hAnsi="Segoe UI" w:cs="Segoe UI"/>
          <w:lang w:val="en-GB"/>
        </w:rPr>
      </w:pPr>
      <w:r w:rsidRPr="004769C5">
        <w:rPr>
          <w:rFonts w:ascii="Segoe UI" w:hAnsi="Segoe UI" w:cs="Segoe UI"/>
          <w:lang w:val="en-GB"/>
        </w:rPr>
        <w:t>The global community has placed its hopes on clinical research, in order to deal with the current pandemic and prepare and secure protection against eventual future ones. SFEE, having fully appreciated the added value Clinical Research offers, has always been</w:t>
      </w:r>
      <w:r w:rsidR="00FC5EB4" w:rsidRPr="004769C5">
        <w:rPr>
          <w:rFonts w:ascii="Segoe UI" w:hAnsi="Segoe UI" w:cs="Segoe UI"/>
          <w:lang w:val="en-US"/>
        </w:rPr>
        <w:t xml:space="preserve"> proactive and dynamic in its struggle to promote it in Greece. </w:t>
      </w:r>
      <w:r w:rsidR="00C52BFF" w:rsidRPr="004769C5">
        <w:rPr>
          <w:rFonts w:ascii="Segoe UI" w:hAnsi="Segoe UI" w:cs="Segoe UI"/>
          <w:lang w:val="en-GB"/>
        </w:rPr>
        <w:t>Under the current, dire circumstances, pharma industry supports the patients and makes every effort for the unimpeded continuation of the clinical trials, despite the difficulties caused by the COVID-19 crisis.</w:t>
      </w:r>
    </w:p>
    <w:p w14:paraId="66104A29" w14:textId="22061BDE" w:rsidR="00C52BFF" w:rsidRPr="004769C5" w:rsidRDefault="00C52BFF" w:rsidP="00C77C92">
      <w:pPr>
        <w:spacing w:before="120" w:after="120" w:line="240" w:lineRule="auto"/>
        <w:jc w:val="both"/>
        <w:rPr>
          <w:rFonts w:ascii="Segoe UI" w:hAnsi="Segoe UI" w:cs="Segoe UI"/>
          <w:lang w:val="en-US"/>
        </w:rPr>
      </w:pPr>
      <w:r w:rsidRPr="004769C5">
        <w:rPr>
          <w:rFonts w:ascii="Segoe UI" w:hAnsi="Segoe UI" w:cs="Segoe UI"/>
          <w:lang w:val="en-US"/>
        </w:rPr>
        <w:t>The benefits drawn from clinical trials are multiple, primarily for the patients</w:t>
      </w:r>
      <w:r w:rsidR="005F4B6D" w:rsidRPr="004769C5">
        <w:rPr>
          <w:rFonts w:ascii="Segoe UI" w:hAnsi="Segoe UI" w:cs="Segoe UI"/>
          <w:lang w:val="en-US"/>
        </w:rPr>
        <w:t xml:space="preserve"> participating in them, since the latter are offered rapid access to new treatments, free medicines and free lab tests and diagnostics, while having constant and continuous high-level medical monitoring. At the same time, clinical research attracts direct foreign investments (FDI), introduces research know-how, enhances entrepreneurship and employment of high-caliber scientific personnel with state-of-the-art education, saves resources for the National Health System and substantially contributes in the development of National Economy. </w:t>
      </w:r>
    </w:p>
    <w:p w14:paraId="32274268" w14:textId="03D7A7AA" w:rsidR="005F4B6D" w:rsidRPr="004769C5" w:rsidRDefault="005F4B6D" w:rsidP="00567D86">
      <w:pPr>
        <w:spacing w:before="120" w:after="120" w:line="240" w:lineRule="auto"/>
        <w:jc w:val="both"/>
        <w:rPr>
          <w:rFonts w:ascii="Segoe UI" w:hAnsi="Segoe UI" w:cs="Segoe UI"/>
          <w:lang w:val="en-US"/>
        </w:rPr>
      </w:pPr>
      <w:r w:rsidRPr="004769C5">
        <w:rPr>
          <w:rFonts w:ascii="Segoe UI" w:hAnsi="Segoe UI" w:cs="Segoe UI"/>
          <w:lang w:val="en-US"/>
        </w:rPr>
        <w:t xml:space="preserve">Clinical Studies constitute an incredible opportunity for Greece, which remains largely untapped. More than €35 billion are invested annually in </w:t>
      </w:r>
      <w:r w:rsidR="00A83B0A" w:rsidRPr="004769C5">
        <w:rPr>
          <w:rFonts w:ascii="Segoe UI" w:hAnsi="Segoe UI" w:cs="Segoe UI"/>
          <w:lang w:val="en-US"/>
        </w:rPr>
        <w:t xml:space="preserve">Europe and Greece hardly absorbs €40 million, unfortunately! Our country fulfills all the prerequisites for the absorption of a far greater number of research projects and investments in the next three years, reaching a funds allocation up to €250million annually. The strategic objective of </w:t>
      </w:r>
      <w:bookmarkStart w:id="0" w:name="_Hlk40214044"/>
      <w:r w:rsidR="00A83B0A" w:rsidRPr="004769C5">
        <w:rPr>
          <w:rFonts w:ascii="Segoe UI" w:hAnsi="Segoe UI" w:cs="Segoe UI"/>
          <w:lang w:val="en-US"/>
        </w:rPr>
        <w:t xml:space="preserve">SFEE and its member companies is the promotion of our country </w:t>
      </w:r>
      <w:bookmarkEnd w:id="0"/>
      <w:r w:rsidR="00A83B0A" w:rsidRPr="004769C5">
        <w:rPr>
          <w:rFonts w:ascii="Segoe UI" w:hAnsi="Segoe UI" w:cs="Segoe UI"/>
          <w:lang w:val="en-US"/>
        </w:rPr>
        <w:t xml:space="preserve">as a Clinical </w:t>
      </w:r>
      <w:r w:rsidR="00B72555">
        <w:rPr>
          <w:rFonts w:ascii="Segoe UI" w:hAnsi="Segoe UI" w:cs="Segoe UI"/>
          <w:lang w:val="en-US"/>
        </w:rPr>
        <w:t>Trials</w:t>
      </w:r>
      <w:r w:rsidR="00A83B0A" w:rsidRPr="004769C5">
        <w:rPr>
          <w:rFonts w:ascii="Segoe UI" w:hAnsi="Segoe UI" w:cs="Segoe UI"/>
          <w:lang w:val="en-US"/>
        </w:rPr>
        <w:t xml:space="preserve"> Hub of international appeal, which will offer a new breath and boost both Public Health and National Economy. </w:t>
      </w:r>
    </w:p>
    <w:p w14:paraId="07FEA1BD" w14:textId="310C58A8" w:rsidR="00A83B0A" w:rsidRPr="004769C5" w:rsidRDefault="00A83B0A" w:rsidP="00C77C92">
      <w:pPr>
        <w:spacing w:before="120" w:after="120" w:line="240" w:lineRule="auto"/>
        <w:jc w:val="both"/>
        <w:rPr>
          <w:rFonts w:ascii="Segoe UI" w:hAnsi="Segoe UI" w:cs="Segoe UI"/>
          <w:lang w:val="en-US" w:eastAsia="el-GR"/>
        </w:rPr>
      </w:pPr>
      <w:r w:rsidRPr="004769C5">
        <w:rPr>
          <w:rFonts w:ascii="Segoe UI" w:hAnsi="Segoe UI" w:cs="Segoe UI"/>
          <w:lang w:val="en-US"/>
        </w:rPr>
        <w:t>Several steps were made for the attraction of investments</w:t>
      </w:r>
      <w:r w:rsidR="00D41BC9" w:rsidRPr="004769C5">
        <w:rPr>
          <w:rFonts w:ascii="Segoe UI" w:hAnsi="Segoe UI" w:cs="Segoe UI"/>
          <w:lang w:val="en-US"/>
        </w:rPr>
        <w:t xml:space="preserve">, nevertheless there are great improvement margins, given that the specific sector is extremely competitive, at a global scale. </w:t>
      </w:r>
      <w:bookmarkStart w:id="1" w:name="_Hlk40214931"/>
      <w:r w:rsidR="00D41BC9" w:rsidRPr="004769C5">
        <w:rPr>
          <w:rFonts w:ascii="Segoe UI" w:hAnsi="Segoe UI" w:cs="Segoe UI"/>
          <w:lang w:val="en-US"/>
        </w:rPr>
        <w:t xml:space="preserve">The extremely productive and promising sector of Clinical </w:t>
      </w:r>
      <w:bookmarkEnd w:id="1"/>
      <w:r w:rsidR="00D41BC9" w:rsidRPr="004769C5">
        <w:rPr>
          <w:rFonts w:ascii="Segoe UI" w:hAnsi="Segoe UI" w:cs="Segoe UI"/>
          <w:lang w:val="en-US"/>
        </w:rPr>
        <w:t>Research must be upgraded as one of the paramount priorities of the Health Policy. The creation of a research orientation in the various Public Health structures involved in running clinical research projects, the seamless flow of processes and the introduction of respective incentives</w:t>
      </w:r>
      <w:r w:rsidR="00491E68" w:rsidRPr="004769C5">
        <w:rPr>
          <w:rFonts w:ascii="Segoe UI" w:hAnsi="Segoe UI" w:cs="Segoe UI"/>
          <w:lang w:val="en-US"/>
        </w:rPr>
        <w:t>, con</w:t>
      </w:r>
      <w:r w:rsidR="00D41BC9" w:rsidRPr="004769C5">
        <w:rPr>
          <w:rFonts w:ascii="Segoe UI" w:hAnsi="Segoe UI" w:cs="Segoe UI"/>
          <w:lang w:val="en-US"/>
        </w:rPr>
        <w:t xml:space="preserve">stitute the basic elements which may improve the respective indices of </w:t>
      </w:r>
      <w:r w:rsidR="00D41BC9" w:rsidRPr="004769C5">
        <w:rPr>
          <w:rFonts w:ascii="Segoe UI" w:hAnsi="Segoe UI" w:cs="Segoe UI"/>
          <w:lang w:val="en-US"/>
        </w:rPr>
        <w:lastRenderedPageBreak/>
        <w:t xml:space="preserve">our country’s </w:t>
      </w:r>
      <w:r w:rsidR="00491E68" w:rsidRPr="004769C5">
        <w:rPr>
          <w:rFonts w:ascii="Segoe UI" w:hAnsi="Segoe UI" w:cs="Segoe UI"/>
          <w:lang w:val="en-US"/>
        </w:rPr>
        <w:t xml:space="preserve">activities in Clinical Research and which, in turn, will lead to the attraction of important investment funds. </w:t>
      </w:r>
    </w:p>
    <w:p w14:paraId="745E998F" w14:textId="2BF7A7B0" w:rsidR="00C92E95" w:rsidRPr="004769C5" w:rsidRDefault="00491E68" w:rsidP="00C77C92">
      <w:pPr>
        <w:spacing w:before="120" w:after="120" w:line="240" w:lineRule="auto"/>
        <w:jc w:val="both"/>
        <w:rPr>
          <w:rFonts w:ascii="Segoe UI" w:hAnsi="Segoe UI" w:cs="Segoe UI"/>
          <w:lang w:val="en-US"/>
        </w:rPr>
      </w:pPr>
      <w:r w:rsidRPr="004769C5">
        <w:rPr>
          <w:rFonts w:ascii="Segoe UI" w:hAnsi="Segoe UI" w:cs="Segoe UI"/>
          <w:lang w:val="en-US"/>
        </w:rPr>
        <w:t xml:space="preserve">SFEE President, Mr. Olympios Papadimitriou, noted: “At an era when Global Public Health challenges can only be addressed through additional innovation brought about by incessant pharmacological research, the boosting of Clinical </w:t>
      </w:r>
      <w:r w:rsidR="00F85DFB">
        <w:rPr>
          <w:rFonts w:ascii="Segoe UI" w:hAnsi="Segoe UI" w:cs="Segoe UI"/>
          <w:lang w:val="en-US"/>
        </w:rPr>
        <w:t>Trials</w:t>
      </w:r>
      <w:r w:rsidRPr="004769C5">
        <w:rPr>
          <w:rFonts w:ascii="Segoe UI" w:hAnsi="Segoe UI" w:cs="Segoe UI"/>
          <w:lang w:val="en-US"/>
        </w:rPr>
        <w:t xml:space="preserve"> in our country should be considered by the </w:t>
      </w:r>
      <w:r w:rsidR="00F85DFB">
        <w:rPr>
          <w:rFonts w:ascii="Segoe UI" w:hAnsi="Segoe UI" w:cs="Segoe UI"/>
          <w:lang w:val="en-US"/>
        </w:rPr>
        <w:t>S</w:t>
      </w:r>
      <w:r w:rsidRPr="004769C5">
        <w:rPr>
          <w:rFonts w:ascii="Segoe UI" w:hAnsi="Segoe UI" w:cs="Segoe UI"/>
          <w:lang w:val="en-US"/>
        </w:rPr>
        <w:t>tate a basic pillar of development. Our industry is well aware of this fact – we expect the state to fully realise it and turn to action. Rationalising pharmaceutical expenditure</w:t>
      </w:r>
      <w:r w:rsidR="00C90AFF" w:rsidRPr="004769C5">
        <w:rPr>
          <w:rFonts w:ascii="Segoe UI" w:hAnsi="Segoe UI" w:cs="Segoe UI"/>
          <w:lang w:val="en-US"/>
        </w:rPr>
        <w:t xml:space="preserve">, introducing the new revolutionary treatments in the country, strengthening the clinical research activities and boosting the cooperation of Greek and </w:t>
      </w:r>
      <w:r w:rsidR="00655E95">
        <w:rPr>
          <w:rFonts w:ascii="Segoe UI" w:hAnsi="Segoe UI" w:cs="Segoe UI"/>
          <w:lang w:val="en-US"/>
        </w:rPr>
        <w:t>international</w:t>
      </w:r>
      <w:r w:rsidR="00C90AFF" w:rsidRPr="004769C5">
        <w:rPr>
          <w:rFonts w:ascii="Segoe UI" w:hAnsi="Segoe UI" w:cs="Segoe UI"/>
          <w:lang w:val="en-US"/>
        </w:rPr>
        <w:t xml:space="preserve"> companies are the necessary elements for securing good public health and sustainable economic development. </w:t>
      </w:r>
    </w:p>
    <w:p w14:paraId="045E114C" w14:textId="27CA3613" w:rsidR="00C90AFF" w:rsidRPr="004769C5" w:rsidRDefault="00C90AFF" w:rsidP="00C77C92">
      <w:pPr>
        <w:spacing w:before="120" w:after="120" w:line="240" w:lineRule="auto"/>
        <w:jc w:val="both"/>
        <w:rPr>
          <w:rFonts w:ascii="Segoe UI" w:hAnsi="Segoe UI" w:cs="Segoe UI"/>
          <w:lang w:val="en-US"/>
        </w:rPr>
      </w:pPr>
    </w:p>
    <w:p w14:paraId="138949DA" w14:textId="14E2E699" w:rsidR="00C90AFF" w:rsidRPr="004769C5" w:rsidRDefault="00C90AFF" w:rsidP="00C77C92">
      <w:pPr>
        <w:spacing w:before="120" w:after="120" w:line="240" w:lineRule="auto"/>
        <w:jc w:val="both"/>
        <w:rPr>
          <w:rFonts w:ascii="Segoe UI" w:hAnsi="Segoe UI" w:cs="Segoe UI"/>
          <w:lang w:val="en-US"/>
        </w:rPr>
      </w:pPr>
    </w:p>
    <w:p w14:paraId="5FB52A1C" w14:textId="19E8037E" w:rsidR="00C90AFF" w:rsidRPr="004769C5" w:rsidRDefault="00655E95" w:rsidP="00655E95">
      <w:pPr>
        <w:spacing w:before="120" w:after="120" w:line="240" w:lineRule="auto"/>
        <w:jc w:val="center"/>
        <w:rPr>
          <w:rFonts w:ascii="Segoe UI" w:hAnsi="Segoe UI" w:cs="Segoe UI"/>
        </w:rPr>
      </w:pPr>
      <w:r>
        <w:rPr>
          <w:rFonts w:ascii="Segoe UI" w:hAnsi="Segoe UI" w:cs="Segoe UI"/>
          <w:lang w:val="en-US"/>
        </w:rPr>
        <w:t xml:space="preserve">- THE </w:t>
      </w:r>
      <w:r w:rsidR="00C90AFF" w:rsidRPr="004769C5">
        <w:rPr>
          <w:rFonts w:ascii="Segoe UI" w:hAnsi="Segoe UI" w:cs="Segoe UI"/>
          <w:lang w:val="en-US"/>
        </w:rPr>
        <w:t>END</w:t>
      </w:r>
      <w:r>
        <w:rPr>
          <w:rFonts w:ascii="Segoe UI" w:hAnsi="Segoe UI" w:cs="Segoe UI"/>
          <w:lang w:val="en-US"/>
        </w:rPr>
        <w:t xml:space="preserve"> -</w:t>
      </w:r>
    </w:p>
    <w:sectPr w:rsidR="00C90AFF" w:rsidRPr="004769C5" w:rsidSect="00E31647">
      <w:headerReference w:type="default" r:id="rId8"/>
      <w:footerReference w:type="default" r:id="rId9"/>
      <w:pgSz w:w="11906" w:h="16838"/>
      <w:pgMar w:top="1134" w:right="1800" w:bottom="1135" w:left="180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84B3D" w14:textId="77777777" w:rsidR="009E751F" w:rsidRDefault="009E751F" w:rsidP="00D76899">
      <w:pPr>
        <w:spacing w:after="0" w:line="240" w:lineRule="auto"/>
      </w:pPr>
      <w:r>
        <w:separator/>
      </w:r>
    </w:p>
  </w:endnote>
  <w:endnote w:type="continuationSeparator" w:id="0">
    <w:p w14:paraId="2AF9D35C" w14:textId="77777777" w:rsidR="009E751F" w:rsidRDefault="009E751F" w:rsidP="00D7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758892"/>
      <w:docPartObj>
        <w:docPartGallery w:val="Page Numbers (Bottom of Page)"/>
        <w:docPartUnique/>
      </w:docPartObj>
    </w:sdtPr>
    <w:sdtEndPr>
      <w:rPr>
        <w:rFonts w:ascii="Segoe UI" w:hAnsi="Segoe UI" w:cs="Segoe UI"/>
        <w:noProof/>
        <w:sz w:val="20"/>
        <w:szCs w:val="20"/>
      </w:rPr>
    </w:sdtEndPr>
    <w:sdtContent>
      <w:p w14:paraId="56CF62E2" w14:textId="4CA99A69" w:rsidR="00A051E1" w:rsidRPr="00A051E1" w:rsidRDefault="00A051E1">
        <w:pPr>
          <w:pStyle w:val="Footer"/>
          <w:jc w:val="right"/>
          <w:rPr>
            <w:rFonts w:ascii="Segoe UI" w:hAnsi="Segoe UI" w:cs="Segoe UI"/>
            <w:sz w:val="20"/>
            <w:szCs w:val="20"/>
          </w:rPr>
        </w:pPr>
        <w:r w:rsidRPr="00A051E1">
          <w:rPr>
            <w:rFonts w:ascii="Segoe UI" w:hAnsi="Segoe UI" w:cs="Segoe UI"/>
            <w:sz w:val="20"/>
            <w:szCs w:val="20"/>
          </w:rPr>
          <w:fldChar w:fldCharType="begin"/>
        </w:r>
        <w:r w:rsidRPr="00A051E1">
          <w:rPr>
            <w:rFonts w:ascii="Segoe UI" w:hAnsi="Segoe UI" w:cs="Segoe UI"/>
            <w:sz w:val="20"/>
            <w:szCs w:val="20"/>
          </w:rPr>
          <w:instrText xml:space="preserve"> PAGE   \* MERGEFORMAT </w:instrText>
        </w:r>
        <w:r w:rsidRPr="00A051E1">
          <w:rPr>
            <w:rFonts w:ascii="Segoe UI" w:hAnsi="Segoe UI" w:cs="Segoe UI"/>
            <w:sz w:val="20"/>
            <w:szCs w:val="20"/>
          </w:rPr>
          <w:fldChar w:fldCharType="separate"/>
        </w:r>
        <w:r w:rsidRPr="00A051E1">
          <w:rPr>
            <w:rFonts w:ascii="Segoe UI" w:hAnsi="Segoe UI" w:cs="Segoe UI"/>
            <w:noProof/>
            <w:sz w:val="20"/>
            <w:szCs w:val="20"/>
          </w:rPr>
          <w:t>2</w:t>
        </w:r>
        <w:r w:rsidRPr="00A051E1">
          <w:rPr>
            <w:rFonts w:ascii="Segoe UI" w:hAnsi="Segoe UI" w:cs="Segoe UI"/>
            <w:noProof/>
            <w:sz w:val="20"/>
            <w:szCs w:val="20"/>
          </w:rPr>
          <w:fldChar w:fldCharType="end"/>
        </w:r>
      </w:p>
    </w:sdtContent>
  </w:sdt>
  <w:p w14:paraId="799D20B1" w14:textId="77777777" w:rsidR="00DF574B" w:rsidRPr="00A051E1" w:rsidRDefault="00DF574B" w:rsidP="00F42663">
    <w:pPr>
      <w:spacing w:after="0" w:line="360" w:lineRule="auto"/>
      <w:rPr>
        <w:rFonts w:ascii="Segoe UI" w:hAnsi="Segoe UI" w:cs="Segoe UI"/>
        <w:b/>
        <w:color w:val="333399"/>
        <w:position w:val="16"/>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2D0F" w14:textId="77777777" w:rsidR="009E751F" w:rsidRDefault="009E751F" w:rsidP="00D76899">
      <w:pPr>
        <w:spacing w:after="0" w:line="240" w:lineRule="auto"/>
      </w:pPr>
      <w:r>
        <w:separator/>
      </w:r>
    </w:p>
  </w:footnote>
  <w:footnote w:type="continuationSeparator" w:id="0">
    <w:p w14:paraId="14D358F4" w14:textId="77777777" w:rsidR="009E751F" w:rsidRDefault="009E751F" w:rsidP="00D7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08CD" w14:textId="7624BE1A" w:rsidR="00884B76" w:rsidRPr="002B75C0" w:rsidRDefault="00884B76" w:rsidP="00884B76">
    <w:pPr>
      <w:pStyle w:val="Header"/>
      <w:rPr>
        <w:rFonts w:ascii="Segoe UI" w:hAnsi="Segoe UI" w:cs="Segoe UI"/>
        <w:b/>
        <w:color w:val="0070C0"/>
        <w:sz w:val="24"/>
        <w:szCs w:val="24"/>
      </w:rPr>
    </w:pPr>
    <w:r w:rsidRPr="002B75C0">
      <w:rPr>
        <w:rFonts w:ascii="Segoe UI" w:hAnsi="Segoe UI" w:cs="Segoe UI"/>
        <w:b/>
        <w:color w:val="0070C0"/>
        <w:sz w:val="24"/>
        <w:szCs w:val="24"/>
      </w:rPr>
      <w:t xml:space="preserve"> </w:t>
    </w:r>
    <w:r w:rsidR="002B75C0" w:rsidRPr="002B75C0">
      <w:rPr>
        <w:noProof/>
        <w:sz w:val="24"/>
        <w:szCs w:val="24"/>
        <w:lang w:eastAsia="el-GR"/>
      </w:rPr>
      <w:drawing>
        <wp:inline distT="0" distB="0" distL="0" distR="0" wp14:anchorId="1C02C748" wp14:editId="08545A41">
          <wp:extent cx="2073697" cy="882650"/>
          <wp:effectExtent l="0" t="0" r="3175"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2083044" cy="886628"/>
                  </a:xfrm>
                  <a:prstGeom prst="rect">
                    <a:avLst/>
                  </a:prstGeom>
                  <a:noFill/>
                  <a:ln>
                    <a:noFill/>
                  </a:ln>
                  <a:extLst>
                    <a:ext uri="{53640926-AAD7-44D8-BBD7-CCE9431645EC}">
                      <a14:shadowObscured xmlns:a14="http://schemas.microsoft.com/office/drawing/2010/main"/>
                    </a:ext>
                  </a:extLst>
                </pic:spPr>
              </pic:pic>
            </a:graphicData>
          </a:graphic>
        </wp:inline>
      </w:drawing>
    </w:r>
    <w:r w:rsidR="002B75C0" w:rsidRPr="002B75C0">
      <w:rPr>
        <w:rFonts w:ascii="Segoe UI" w:hAnsi="Segoe UI" w:cs="Segoe UI"/>
        <w:b/>
        <w:color w:val="0070C0"/>
        <w:sz w:val="24"/>
        <w:szCs w:val="24"/>
      </w:rPr>
      <w:tab/>
    </w:r>
    <w:r w:rsidRPr="002B75C0">
      <w:rPr>
        <w:rFonts w:ascii="Segoe UI" w:hAnsi="Segoe UI" w:cs="Segoe UI"/>
        <w:b/>
        <w:color w:val="0070C0"/>
        <w:sz w:val="24"/>
        <w:szCs w:val="24"/>
      </w:rPr>
      <w:tab/>
    </w:r>
    <w:r w:rsidR="002B75C0" w:rsidRPr="002B75C0">
      <w:rPr>
        <w:rFonts w:ascii="Segoe UI" w:hAnsi="Segoe UI" w:cs="Segoe UI"/>
        <w:b/>
        <w:color w:val="0070C0"/>
        <w:sz w:val="24"/>
        <w:szCs w:val="24"/>
      </w:rPr>
      <w:t>Δελτίο Τύπου</w:t>
    </w:r>
  </w:p>
  <w:p w14:paraId="7322AC64" w14:textId="1E4B4745" w:rsidR="00F42663" w:rsidRDefault="00F42663" w:rsidP="00441604">
    <w:pPr>
      <w:pStyle w:val="Header"/>
      <w:jc w:val="center"/>
      <w:rPr>
        <w:rFonts w:ascii="Segoe UI" w:hAnsi="Segoe UI" w:cs="Segoe UI"/>
        <w:b/>
        <w:color w:val="0070C0"/>
      </w:rPr>
    </w:pPr>
  </w:p>
  <w:p w14:paraId="48F9D4DE" w14:textId="77777777" w:rsidR="00441604" w:rsidRPr="00F42663" w:rsidRDefault="00441604" w:rsidP="00F42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5D3E"/>
    <w:multiLevelType w:val="hybridMultilevel"/>
    <w:tmpl w:val="CAB628BC"/>
    <w:lvl w:ilvl="0" w:tplc="273ED7CA">
      <w:start w:val="1"/>
      <w:numFmt w:val="bullet"/>
      <w:lvlText w:val="•"/>
      <w:lvlJc w:val="left"/>
      <w:pPr>
        <w:tabs>
          <w:tab w:val="num" w:pos="720"/>
        </w:tabs>
        <w:ind w:left="720" w:hanging="360"/>
      </w:pPr>
      <w:rPr>
        <w:rFonts w:ascii="Arial" w:hAnsi="Arial" w:hint="default"/>
      </w:rPr>
    </w:lvl>
    <w:lvl w:ilvl="1" w:tplc="0EC28374">
      <w:start w:val="1206"/>
      <w:numFmt w:val="bullet"/>
      <w:lvlText w:val="–"/>
      <w:lvlJc w:val="left"/>
      <w:pPr>
        <w:tabs>
          <w:tab w:val="num" w:pos="1440"/>
        </w:tabs>
        <w:ind w:left="1440" w:hanging="360"/>
      </w:pPr>
      <w:rPr>
        <w:rFonts w:ascii="Arial" w:hAnsi="Arial" w:hint="default"/>
      </w:rPr>
    </w:lvl>
    <w:lvl w:ilvl="2" w:tplc="6F5A3D3E" w:tentative="1">
      <w:start w:val="1"/>
      <w:numFmt w:val="bullet"/>
      <w:lvlText w:val="•"/>
      <w:lvlJc w:val="left"/>
      <w:pPr>
        <w:tabs>
          <w:tab w:val="num" w:pos="2160"/>
        </w:tabs>
        <w:ind w:left="2160" w:hanging="360"/>
      </w:pPr>
      <w:rPr>
        <w:rFonts w:ascii="Arial" w:hAnsi="Arial" w:hint="default"/>
      </w:rPr>
    </w:lvl>
    <w:lvl w:ilvl="3" w:tplc="E1168A00" w:tentative="1">
      <w:start w:val="1"/>
      <w:numFmt w:val="bullet"/>
      <w:lvlText w:val="•"/>
      <w:lvlJc w:val="left"/>
      <w:pPr>
        <w:tabs>
          <w:tab w:val="num" w:pos="2880"/>
        </w:tabs>
        <w:ind w:left="2880" w:hanging="360"/>
      </w:pPr>
      <w:rPr>
        <w:rFonts w:ascii="Arial" w:hAnsi="Arial" w:hint="default"/>
      </w:rPr>
    </w:lvl>
    <w:lvl w:ilvl="4" w:tplc="8EB8C202" w:tentative="1">
      <w:start w:val="1"/>
      <w:numFmt w:val="bullet"/>
      <w:lvlText w:val="•"/>
      <w:lvlJc w:val="left"/>
      <w:pPr>
        <w:tabs>
          <w:tab w:val="num" w:pos="3600"/>
        </w:tabs>
        <w:ind w:left="3600" w:hanging="360"/>
      </w:pPr>
      <w:rPr>
        <w:rFonts w:ascii="Arial" w:hAnsi="Arial" w:hint="default"/>
      </w:rPr>
    </w:lvl>
    <w:lvl w:ilvl="5" w:tplc="58F89524" w:tentative="1">
      <w:start w:val="1"/>
      <w:numFmt w:val="bullet"/>
      <w:lvlText w:val="•"/>
      <w:lvlJc w:val="left"/>
      <w:pPr>
        <w:tabs>
          <w:tab w:val="num" w:pos="4320"/>
        </w:tabs>
        <w:ind w:left="4320" w:hanging="360"/>
      </w:pPr>
      <w:rPr>
        <w:rFonts w:ascii="Arial" w:hAnsi="Arial" w:hint="default"/>
      </w:rPr>
    </w:lvl>
    <w:lvl w:ilvl="6" w:tplc="FD9E2E6A" w:tentative="1">
      <w:start w:val="1"/>
      <w:numFmt w:val="bullet"/>
      <w:lvlText w:val="•"/>
      <w:lvlJc w:val="left"/>
      <w:pPr>
        <w:tabs>
          <w:tab w:val="num" w:pos="5040"/>
        </w:tabs>
        <w:ind w:left="5040" w:hanging="360"/>
      </w:pPr>
      <w:rPr>
        <w:rFonts w:ascii="Arial" w:hAnsi="Arial" w:hint="default"/>
      </w:rPr>
    </w:lvl>
    <w:lvl w:ilvl="7" w:tplc="DFBE34C6" w:tentative="1">
      <w:start w:val="1"/>
      <w:numFmt w:val="bullet"/>
      <w:lvlText w:val="•"/>
      <w:lvlJc w:val="left"/>
      <w:pPr>
        <w:tabs>
          <w:tab w:val="num" w:pos="5760"/>
        </w:tabs>
        <w:ind w:left="5760" w:hanging="360"/>
      </w:pPr>
      <w:rPr>
        <w:rFonts w:ascii="Arial" w:hAnsi="Arial" w:hint="default"/>
      </w:rPr>
    </w:lvl>
    <w:lvl w:ilvl="8" w:tplc="17D00F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E2B2D"/>
    <w:multiLevelType w:val="hybridMultilevel"/>
    <w:tmpl w:val="39C8095C"/>
    <w:lvl w:ilvl="0" w:tplc="7DBAAEE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652126"/>
    <w:multiLevelType w:val="hybridMultilevel"/>
    <w:tmpl w:val="63182968"/>
    <w:lvl w:ilvl="0" w:tplc="C932F9C4">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8503A4"/>
    <w:multiLevelType w:val="hybridMultilevel"/>
    <w:tmpl w:val="9CD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F74B1"/>
    <w:multiLevelType w:val="hybridMultilevel"/>
    <w:tmpl w:val="3044FDF8"/>
    <w:lvl w:ilvl="0" w:tplc="B598F5C6">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45510C"/>
    <w:multiLevelType w:val="hybridMultilevel"/>
    <w:tmpl w:val="DC44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C02C7"/>
    <w:multiLevelType w:val="hybridMultilevel"/>
    <w:tmpl w:val="15EC6812"/>
    <w:lvl w:ilvl="0" w:tplc="40706B6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546015"/>
    <w:multiLevelType w:val="hybridMultilevel"/>
    <w:tmpl w:val="0D00F7F6"/>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707AD"/>
    <w:multiLevelType w:val="hybridMultilevel"/>
    <w:tmpl w:val="89305866"/>
    <w:lvl w:ilvl="0" w:tplc="B9AC75FA">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51781"/>
    <w:multiLevelType w:val="hybridMultilevel"/>
    <w:tmpl w:val="AD88DA3A"/>
    <w:lvl w:ilvl="0" w:tplc="3B6623D2">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F654E8"/>
    <w:multiLevelType w:val="hybridMultilevel"/>
    <w:tmpl w:val="188A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4B6495"/>
    <w:multiLevelType w:val="hybridMultilevel"/>
    <w:tmpl w:val="0720D40C"/>
    <w:lvl w:ilvl="0" w:tplc="2BB671D8">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C3709F"/>
    <w:multiLevelType w:val="hybridMultilevel"/>
    <w:tmpl w:val="07DCD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A168C8"/>
    <w:multiLevelType w:val="hybridMultilevel"/>
    <w:tmpl w:val="4ABEC9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A9353E"/>
    <w:multiLevelType w:val="hybridMultilevel"/>
    <w:tmpl w:val="7DBE7A22"/>
    <w:lvl w:ilvl="0" w:tplc="0408000F">
      <w:start w:val="1"/>
      <w:numFmt w:val="decimal"/>
      <w:lvlText w:val="%1."/>
      <w:lvlJc w:val="left"/>
      <w:pPr>
        <w:ind w:left="720" w:hanging="360"/>
      </w:pPr>
    </w:lvl>
    <w:lvl w:ilvl="1" w:tplc="04080019">
      <w:start w:val="1"/>
      <w:numFmt w:val="lowerLetter"/>
      <w:lvlText w:val="%2."/>
      <w:lvlJc w:val="left"/>
      <w:pPr>
        <w:ind w:left="1353"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A4128B"/>
    <w:multiLevelType w:val="hybridMultilevel"/>
    <w:tmpl w:val="435A4F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480D2E"/>
    <w:multiLevelType w:val="hybridMultilevel"/>
    <w:tmpl w:val="53626E48"/>
    <w:lvl w:ilvl="0" w:tplc="72D8564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801E4"/>
    <w:multiLevelType w:val="hybridMultilevel"/>
    <w:tmpl w:val="35B4B934"/>
    <w:lvl w:ilvl="0" w:tplc="40706B60">
      <w:start w:val="1"/>
      <w:numFmt w:val="decimal"/>
      <w:lvlText w:val="%1."/>
      <w:lvlJc w:val="left"/>
      <w:pPr>
        <w:ind w:left="720" w:hanging="360"/>
      </w:pPr>
      <w:rPr>
        <w:rFonts w:hint="default"/>
        <w:color w:val="auto"/>
      </w:rPr>
    </w:lvl>
    <w:lvl w:ilvl="1" w:tplc="40706B60">
      <w:start w:val="1"/>
      <w:numFmt w:val="decimal"/>
      <w:lvlText w:val="%2."/>
      <w:lvlJc w:val="left"/>
      <w:pPr>
        <w:ind w:left="1800" w:hanging="720"/>
      </w:pPr>
      <w:rPr>
        <w:rFonts w:hint="default"/>
        <w:color w:val="auto"/>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7C00EB"/>
    <w:multiLevelType w:val="hybridMultilevel"/>
    <w:tmpl w:val="F20AFEF6"/>
    <w:lvl w:ilvl="0" w:tplc="BBBE18C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D56CD9"/>
    <w:multiLevelType w:val="hybridMultilevel"/>
    <w:tmpl w:val="2828D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945316E"/>
    <w:multiLevelType w:val="hybridMultilevel"/>
    <w:tmpl w:val="25187D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AD16B5D"/>
    <w:multiLevelType w:val="hybridMultilevel"/>
    <w:tmpl w:val="22325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0"/>
  </w:num>
  <w:num w:numId="4">
    <w:abstractNumId w:val="15"/>
  </w:num>
  <w:num w:numId="5">
    <w:abstractNumId w:val="19"/>
  </w:num>
  <w:num w:numId="6">
    <w:abstractNumId w:val="14"/>
  </w:num>
  <w:num w:numId="7">
    <w:abstractNumId w:val="7"/>
  </w:num>
  <w:num w:numId="8">
    <w:abstractNumId w:val="12"/>
  </w:num>
  <w:num w:numId="9">
    <w:abstractNumId w:val="13"/>
  </w:num>
  <w:num w:numId="10">
    <w:abstractNumId w:val="21"/>
  </w:num>
  <w:num w:numId="11">
    <w:abstractNumId w:val="6"/>
  </w:num>
  <w:num w:numId="12">
    <w:abstractNumId w:val="1"/>
  </w:num>
  <w:num w:numId="13">
    <w:abstractNumId w:val="9"/>
  </w:num>
  <w:num w:numId="14">
    <w:abstractNumId w:val="17"/>
  </w:num>
  <w:num w:numId="15">
    <w:abstractNumId w:val="18"/>
  </w:num>
  <w:num w:numId="16">
    <w:abstractNumId w:val="2"/>
  </w:num>
  <w:num w:numId="17">
    <w:abstractNumId w:val="4"/>
  </w:num>
  <w:num w:numId="18">
    <w:abstractNumId w:val="11"/>
  </w:num>
  <w:num w:numId="19">
    <w:abstractNumId w:val="5"/>
  </w:num>
  <w:num w:numId="20">
    <w:abstractNumId w:val="3"/>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jYzNjYwMzYyNDdU0lEKTi0uzszPAykwrwUAApRGuywAAAA="/>
  </w:docVars>
  <w:rsids>
    <w:rsidRoot w:val="006E5577"/>
    <w:rsid w:val="00004A00"/>
    <w:rsid w:val="00010071"/>
    <w:rsid w:val="00014863"/>
    <w:rsid w:val="0002013C"/>
    <w:rsid w:val="0002180C"/>
    <w:rsid w:val="000307AD"/>
    <w:rsid w:val="00032A3E"/>
    <w:rsid w:val="000335B4"/>
    <w:rsid w:val="0004034D"/>
    <w:rsid w:val="00042F43"/>
    <w:rsid w:val="0006059B"/>
    <w:rsid w:val="00067EBE"/>
    <w:rsid w:val="000709E2"/>
    <w:rsid w:val="0007624F"/>
    <w:rsid w:val="00076A81"/>
    <w:rsid w:val="00082DB9"/>
    <w:rsid w:val="000A0B81"/>
    <w:rsid w:val="000A3C40"/>
    <w:rsid w:val="000A63CD"/>
    <w:rsid w:val="000B6929"/>
    <w:rsid w:val="000B6BEE"/>
    <w:rsid w:val="000D13C2"/>
    <w:rsid w:val="000D4005"/>
    <w:rsid w:val="000D484F"/>
    <w:rsid w:val="000E40B3"/>
    <w:rsid w:val="00100AC0"/>
    <w:rsid w:val="0010249F"/>
    <w:rsid w:val="00115790"/>
    <w:rsid w:val="00125EEF"/>
    <w:rsid w:val="00134446"/>
    <w:rsid w:val="00136C8D"/>
    <w:rsid w:val="00141247"/>
    <w:rsid w:val="00152556"/>
    <w:rsid w:val="001602E6"/>
    <w:rsid w:val="001659F2"/>
    <w:rsid w:val="00176623"/>
    <w:rsid w:val="001966F7"/>
    <w:rsid w:val="0019673C"/>
    <w:rsid w:val="001A673F"/>
    <w:rsid w:val="001B24A9"/>
    <w:rsid w:val="001B48DE"/>
    <w:rsid w:val="001B59CA"/>
    <w:rsid w:val="001C3994"/>
    <w:rsid w:val="001C4357"/>
    <w:rsid w:val="001D02A0"/>
    <w:rsid w:val="001D21A4"/>
    <w:rsid w:val="001D2391"/>
    <w:rsid w:val="001E38B4"/>
    <w:rsid w:val="001E5EC5"/>
    <w:rsid w:val="001F731E"/>
    <w:rsid w:val="00212125"/>
    <w:rsid w:val="0021213E"/>
    <w:rsid w:val="00221520"/>
    <w:rsid w:val="002215CA"/>
    <w:rsid w:val="00223003"/>
    <w:rsid w:val="002276F2"/>
    <w:rsid w:val="0023099C"/>
    <w:rsid w:val="0024077E"/>
    <w:rsid w:val="00241BF0"/>
    <w:rsid w:val="00245834"/>
    <w:rsid w:val="00246A18"/>
    <w:rsid w:val="00247FDA"/>
    <w:rsid w:val="0025236F"/>
    <w:rsid w:val="002668FD"/>
    <w:rsid w:val="00272C55"/>
    <w:rsid w:val="002847FD"/>
    <w:rsid w:val="002930A9"/>
    <w:rsid w:val="002B0C79"/>
    <w:rsid w:val="002B20D3"/>
    <w:rsid w:val="002B75C0"/>
    <w:rsid w:val="002B79B4"/>
    <w:rsid w:val="002C0D34"/>
    <w:rsid w:val="002D64A2"/>
    <w:rsid w:val="002D7B90"/>
    <w:rsid w:val="002E2767"/>
    <w:rsid w:val="002F6ECF"/>
    <w:rsid w:val="002F7E45"/>
    <w:rsid w:val="00304A01"/>
    <w:rsid w:val="00312609"/>
    <w:rsid w:val="003444D8"/>
    <w:rsid w:val="00354BEB"/>
    <w:rsid w:val="00362744"/>
    <w:rsid w:val="00363F88"/>
    <w:rsid w:val="00371713"/>
    <w:rsid w:val="003717A4"/>
    <w:rsid w:val="00390AFA"/>
    <w:rsid w:val="003A16A6"/>
    <w:rsid w:val="003A550A"/>
    <w:rsid w:val="003C1A60"/>
    <w:rsid w:val="003C1D83"/>
    <w:rsid w:val="003C637F"/>
    <w:rsid w:val="003D0035"/>
    <w:rsid w:val="003E3BA1"/>
    <w:rsid w:val="003E4CD3"/>
    <w:rsid w:val="003F3D39"/>
    <w:rsid w:val="003F4658"/>
    <w:rsid w:val="00403D78"/>
    <w:rsid w:val="004229C7"/>
    <w:rsid w:val="00425BAB"/>
    <w:rsid w:val="00441604"/>
    <w:rsid w:val="004430AC"/>
    <w:rsid w:val="00443389"/>
    <w:rsid w:val="00452035"/>
    <w:rsid w:val="00452627"/>
    <w:rsid w:val="00460880"/>
    <w:rsid w:val="00465FD7"/>
    <w:rsid w:val="004732CA"/>
    <w:rsid w:val="00474FCD"/>
    <w:rsid w:val="00475DBF"/>
    <w:rsid w:val="004769C5"/>
    <w:rsid w:val="0048229B"/>
    <w:rsid w:val="00482A9B"/>
    <w:rsid w:val="004915BD"/>
    <w:rsid w:val="00491E68"/>
    <w:rsid w:val="004A3698"/>
    <w:rsid w:val="004B4F6B"/>
    <w:rsid w:val="004C62A6"/>
    <w:rsid w:val="004C7C48"/>
    <w:rsid w:val="004D2F90"/>
    <w:rsid w:val="004D39BA"/>
    <w:rsid w:val="00501457"/>
    <w:rsid w:val="00501DF6"/>
    <w:rsid w:val="00503A9A"/>
    <w:rsid w:val="00504E42"/>
    <w:rsid w:val="005100AC"/>
    <w:rsid w:val="0051188B"/>
    <w:rsid w:val="005130A9"/>
    <w:rsid w:val="005144CE"/>
    <w:rsid w:val="00520E96"/>
    <w:rsid w:val="00521976"/>
    <w:rsid w:val="00522FBD"/>
    <w:rsid w:val="005278A6"/>
    <w:rsid w:val="005402B7"/>
    <w:rsid w:val="005404CA"/>
    <w:rsid w:val="005409F1"/>
    <w:rsid w:val="005447B4"/>
    <w:rsid w:val="00567D86"/>
    <w:rsid w:val="005741C9"/>
    <w:rsid w:val="005A1575"/>
    <w:rsid w:val="005B175F"/>
    <w:rsid w:val="005B2400"/>
    <w:rsid w:val="005C4CF9"/>
    <w:rsid w:val="005D20C0"/>
    <w:rsid w:val="005D3DA1"/>
    <w:rsid w:val="005D4272"/>
    <w:rsid w:val="005E1957"/>
    <w:rsid w:val="005E204B"/>
    <w:rsid w:val="005E2119"/>
    <w:rsid w:val="005E42D6"/>
    <w:rsid w:val="005E65B3"/>
    <w:rsid w:val="005E7A46"/>
    <w:rsid w:val="005F2B11"/>
    <w:rsid w:val="005F4B6D"/>
    <w:rsid w:val="00602A7C"/>
    <w:rsid w:val="00604919"/>
    <w:rsid w:val="00607092"/>
    <w:rsid w:val="00612EB8"/>
    <w:rsid w:val="00615E14"/>
    <w:rsid w:val="00620F44"/>
    <w:rsid w:val="006320C5"/>
    <w:rsid w:val="006435DD"/>
    <w:rsid w:val="00643D73"/>
    <w:rsid w:val="0064667C"/>
    <w:rsid w:val="006509B3"/>
    <w:rsid w:val="00655E95"/>
    <w:rsid w:val="00661B4F"/>
    <w:rsid w:val="00677C4B"/>
    <w:rsid w:val="00683681"/>
    <w:rsid w:val="00692CC2"/>
    <w:rsid w:val="00693353"/>
    <w:rsid w:val="006A5BD1"/>
    <w:rsid w:val="006B6239"/>
    <w:rsid w:val="006B703C"/>
    <w:rsid w:val="006C07C4"/>
    <w:rsid w:val="006D2D71"/>
    <w:rsid w:val="006D47FE"/>
    <w:rsid w:val="006D7DFE"/>
    <w:rsid w:val="006E1A64"/>
    <w:rsid w:val="006E5577"/>
    <w:rsid w:val="006E6675"/>
    <w:rsid w:val="006E703D"/>
    <w:rsid w:val="006F0D3B"/>
    <w:rsid w:val="006F529B"/>
    <w:rsid w:val="006F57B2"/>
    <w:rsid w:val="006F6E95"/>
    <w:rsid w:val="006F772B"/>
    <w:rsid w:val="0070055C"/>
    <w:rsid w:val="007109FA"/>
    <w:rsid w:val="0071103E"/>
    <w:rsid w:val="0072144C"/>
    <w:rsid w:val="00740350"/>
    <w:rsid w:val="00745C0A"/>
    <w:rsid w:val="00746E4B"/>
    <w:rsid w:val="00750A73"/>
    <w:rsid w:val="007742D9"/>
    <w:rsid w:val="00774E74"/>
    <w:rsid w:val="00787D53"/>
    <w:rsid w:val="007A0ECC"/>
    <w:rsid w:val="007A4269"/>
    <w:rsid w:val="007A6368"/>
    <w:rsid w:val="007B3767"/>
    <w:rsid w:val="007B5A03"/>
    <w:rsid w:val="007C0B82"/>
    <w:rsid w:val="007C26AC"/>
    <w:rsid w:val="007C6613"/>
    <w:rsid w:val="007E202D"/>
    <w:rsid w:val="007E7799"/>
    <w:rsid w:val="00806DB6"/>
    <w:rsid w:val="0081380E"/>
    <w:rsid w:val="00820971"/>
    <w:rsid w:val="00821B8A"/>
    <w:rsid w:val="0082779D"/>
    <w:rsid w:val="00830DBA"/>
    <w:rsid w:val="00840F62"/>
    <w:rsid w:val="008417CC"/>
    <w:rsid w:val="0085072F"/>
    <w:rsid w:val="00863317"/>
    <w:rsid w:val="00866BF1"/>
    <w:rsid w:val="0087549D"/>
    <w:rsid w:val="00880E68"/>
    <w:rsid w:val="00884B76"/>
    <w:rsid w:val="00896CCF"/>
    <w:rsid w:val="008A1461"/>
    <w:rsid w:val="008A38E5"/>
    <w:rsid w:val="008C7286"/>
    <w:rsid w:val="008D068D"/>
    <w:rsid w:val="008D0749"/>
    <w:rsid w:val="008E5F1A"/>
    <w:rsid w:val="008E6267"/>
    <w:rsid w:val="008E6C07"/>
    <w:rsid w:val="008F7BCA"/>
    <w:rsid w:val="00910310"/>
    <w:rsid w:val="00915F3E"/>
    <w:rsid w:val="00925899"/>
    <w:rsid w:val="00930082"/>
    <w:rsid w:val="0093653C"/>
    <w:rsid w:val="00952BF6"/>
    <w:rsid w:val="009609D7"/>
    <w:rsid w:val="009649A9"/>
    <w:rsid w:val="00973678"/>
    <w:rsid w:val="00974DBF"/>
    <w:rsid w:val="00977EDB"/>
    <w:rsid w:val="00983C08"/>
    <w:rsid w:val="009A51ED"/>
    <w:rsid w:val="009B339C"/>
    <w:rsid w:val="009D20DE"/>
    <w:rsid w:val="009D2CEB"/>
    <w:rsid w:val="009E124B"/>
    <w:rsid w:val="009E54F8"/>
    <w:rsid w:val="009E751F"/>
    <w:rsid w:val="009F007E"/>
    <w:rsid w:val="00A032CA"/>
    <w:rsid w:val="00A051E1"/>
    <w:rsid w:val="00A059D2"/>
    <w:rsid w:val="00A060AD"/>
    <w:rsid w:val="00A1396E"/>
    <w:rsid w:val="00A17049"/>
    <w:rsid w:val="00A21921"/>
    <w:rsid w:val="00A26226"/>
    <w:rsid w:val="00A323C6"/>
    <w:rsid w:val="00A41168"/>
    <w:rsid w:val="00A53158"/>
    <w:rsid w:val="00A613E9"/>
    <w:rsid w:val="00A72C77"/>
    <w:rsid w:val="00A737B5"/>
    <w:rsid w:val="00A83B0A"/>
    <w:rsid w:val="00A83D2A"/>
    <w:rsid w:val="00A9257E"/>
    <w:rsid w:val="00AA4AF8"/>
    <w:rsid w:val="00AB7883"/>
    <w:rsid w:val="00AC1CB5"/>
    <w:rsid w:val="00AC2C42"/>
    <w:rsid w:val="00AC3215"/>
    <w:rsid w:val="00AC5AAC"/>
    <w:rsid w:val="00AC6D38"/>
    <w:rsid w:val="00AD035A"/>
    <w:rsid w:val="00AD3548"/>
    <w:rsid w:val="00AE7B89"/>
    <w:rsid w:val="00AF0E40"/>
    <w:rsid w:val="00AF23AB"/>
    <w:rsid w:val="00B0563F"/>
    <w:rsid w:val="00B23361"/>
    <w:rsid w:val="00B24BF0"/>
    <w:rsid w:val="00B24FD7"/>
    <w:rsid w:val="00B31DF4"/>
    <w:rsid w:val="00B324A4"/>
    <w:rsid w:val="00B3442F"/>
    <w:rsid w:val="00B350A5"/>
    <w:rsid w:val="00B541BC"/>
    <w:rsid w:val="00B72555"/>
    <w:rsid w:val="00B72A32"/>
    <w:rsid w:val="00BA15B8"/>
    <w:rsid w:val="00BA682B"/>
    <w:rsid w:val="00BB6F30"/>
    <w:rsid w:val="00BC1689"/>
    <w:rsid w:val="00BC3E35"/>
    <w:rsid w:val="00BC6781"/>
    <w:rsid w:val="00BD14E7"/>
    <w:rsid w:val="00BD7674"/>
    <w:rsid w:val="00BE1268"/>
    <w:rsid w:val="00C01952"/>
    <w:rsid w:val="00C165D2"/>
    <w:rsid w:val="00C2117E"/>
    <w:rsid w:val="00C31607"/>
    <w:rsid w:val="00C36E4F"/>
    <w:rsid w:val="00C37B9F"/>
    <w:rsid w:val="00C43087"/>
    <w:rsid w:val="00C52BFF"/>
    <w:rsid w:val="00C53D2F"/>
    <w:rsid w:val="00C71D91"/>
    <w:rsid w:val="00C75050"/>
    <w:rsid w:val="00C773E0"/>
    <w:rsid w:val="00C77C92"/>
    <w:rsid w:val="00C8088B"/>
    <w:rsid w:val="00C814FF"/>
    <w:rsid w:val="00C81A5D"/>
    <w:rsid w:val="00C81B04"/>
    <w:rsid w:val="00C844FB"/>
    <w:rsid w:val="00C90AFF"/>
    <w:rsid w:val="00C92E95"/>
    <w:rsid w:val="00CA37C0"/>
    <w:rsid w:val="00CB00C7"/>
    <w:rsid w:val="00CB51C1"/>
    <w:rsid w:val="00CC57B9"/>
    <w:rsid w:val="00CD3C9A"/>
    <w:rsid w:val="00CD6857"/>
    <w:rsid w:val="00CD7857"/>
    <w:rsid w:val="00D150E5"/>
    <w:rsid w:val="00D1538A"/>
    <w:rsid w:val="00D21E57"/>
    <w:rsid w:val="00D309D1"/>
    <w:rsid w:val="00D41BC9"/>
    <w:rsid w:val="00D44717"/>
    <w:rsid w:val="00D539EE"/>
    <w:rsid w:val="00D7688C"/>
    <w:rsid w:val="00D76899"/>
    <w:rsid w:val="00D849D8"/>
    <w:rsid w:val="00D9036C"/>
    <w:rsid w:val="00D9123E"/>
    <w:rsid w:val="00DA52F1"/>
    <w:rsid w:val="00DB41F4"/>
    <w:rsid w:val="00DB6AD1"/>
    <w:rsid w:val="00DC686C"/>
    <w:rsid w:val="00DD61EB"/>
    <w:rsid w:val="00DE34D4"/>
    <w:rsid w:val="00DE381D"/>
    <w:rsid w:val="00DF2797"/>
    <w:rsid w:val="00DF36F6"/>
    <w:rsid w:val="00DF574B"/>
    <w:rsid w:val="00DF7C57"/>
    <w:rsid w:val="00E23D14"/>
    <w:rsid w:val="00E2469F"/>
    <w:rsid w:val="00E24BD6"/>
    <w:rsid w:val="00E31647"/>
    <w:rsid w:val="00E7031E"/>
    <w:rsid w:val="00E704EE"/>
    <w:rsid w:val="00E91C34"/>
    <w:rsid w:val="00E9541E"/>
    <w:rsid w:val="00EA2C4D"/>
    <w:rsid w:val="00EA6437"/>
    <w:rsid w:val="00EB5ADD"/>
    <w:rsid w:val="00EB5D34"/>
    <w:rsid w:val="00EC6AAF"/>
    <w:rsid w:val="00EE5A89"/>
    <w:rsid w:val="00EE6434"/>
    <w:rsid w:val="00EF7B69"/>
    <w:rsid w:val="00F078A6"/>
    <w:rsid w:val="00F10DE8"/>
    <w:rsid w:val="00F232E3"/>
    <w:rsid w:val="00F41EE8"/>
    <w:rsid w:val="00F42663"/>
    <w:rsid w:val="00F466FB"/>
    <w:rsid w:val="00F47296"/>
    <w:rsid w:val="00F61375"/>
    <w:rsid w:val="00F61AF9"/>
    <w:rsid w:val="00F62348"/>
    <w:rsid w:val="00F72B03"/>
    <w:rsid w:val="00F77DDD"/>
    <w:rsid w:val="00F80648"/>
    <w:rsid w:val="00F85DFB"/>
    <w:rsid w:val="00F93775"/>
    <w:rsid w:val="00FA7953"/>
    <w:rsid w:val="00FC087D"/>
    <w:rsid w:val="00FC314D"/>
    <w:rsid w:val="00FC5EB4"/>
    <w:rsid w:val="00FD7DFF"/>
    <w:rsid w:val="00FE4620"/>
    <w:rsid w:val="00FE7883"/>
    <w:rsid w:val="00FF4BAA"/>
    <w:rsid w:val="00FF6291"/>
    <w:rsid w:val="00FF6D57"/>
    <w:rsid w:val="00FF732D"/>
  </w:rsids>
  <m:mathPr>
    <m:mathFont m:val="Cambria Math"/>
    <m:brkBin m:val="before"/>
    <m:brkBinSub m:val="--"/>
    <m:smallFrac/>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4A24A"/>
  <w15:docId w15:val="{9677E3C7-C26F-4D0A-BC78-B996E20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68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6899"/>
    <w:rPr>
      <w:rFonts w:ascii="Tahoma" w:hAnsi="Tahoma" w:cs="Tahoma"/>
      <w:sz w:val="16"/>
      <w:szCs w:val="16"/>
    </w:rPr>
  </w:style>
  <w:style w:type="paragraph" w:styleId="Header">
    <w:name w:val="header"/>
    <w:basedOn w:val="Normal"/>
    <w:link w:val="HeaderChar"/>
    <w:uiPriority w:val="99"/>
    <w:rsid w:val="00D76899"/>
    <w:pPr>
      <w:tabs>
        <w:tab w:val="center" w:pos="4153"/>
        <w:tab w:val="right" w:pos="8306"/>
      </w:tabs>
      <w:spacing w:after="0" w:line="240" w:lineRule="auto"/>
    </w:pPr>
  </w:style>
  <w:style w:type="character" w:customStyle="1" w:styleId="HeaderChar">
    <w:name w:val="Header Char"/>
    <w:link w:val="Header"/>
    <w:uiPriority w:val="99"/>
    <w:locked/>
    <w:rsid w:val="00D76899"/>
    <w:rPr>
      <w:rFonts w:cs="Times New Roman"/>
    </w:rPr>
  </w:style>
  <w:style w:type="paragraph" w:styleId="Footer">
    <w:name w:val="footer"/>
    <w:basedOn w:val="Normal"/>
    <w:link w:val="FooterChar"/>
    <w:uiPriority w:val="99"/>
    <w:rsid w:val="00D76899"/>
    <w:pPr>
      <w:tabs>
        <w:tab w:val="center" w:pos="4153"/>
        <w:tab w:val="right" w:pos="8306"/>
      </w:tabs>
      <w:spacing w:after="0" w:line="240" w:lineRule="auto"/>
    </w:pPr>
  </w:style>
  <w:style w:type="character" w:customStyle="1" w:styleId="FooterChar">
    <w:name w:val="Footer Char"/>
    <w:link w:val="Footer"/>
    <w:uiPriority w:val="99"/>
    <w:locked/>
    <w:rsid w:val="00D76899"/>
    <w:rPr>
      <w:rFonts w:cs="Times New Roman"/>
    </w:rPr>
  </w:style>
  <w:style w:type="paragraph" w:styleId="ListParagraph">
    <w:name w:val="List Paragraph"/>
    <w:basedOn w:val="Normal"/>
    <w:uiPriority w:val="34"/>
    <w:qFormat/>
    <w:rsid w:val="00B541BC"/>
    <w:pPr>
      <w:ind w:left="720"/>
      <w:contextualSpacing/>
    </w:pPr>
  </w:style>
  <w:style w:type="character" w:styleId="CommentReference">
    <w:name w:val="annotation reference"/>
    <w:uiPriority w:val="99"/>
    <w:semiHidden/>
    <w:unhideWhenUsed/>
    <w:rsid w:val="00974DBF"/>
    <w:rPr>
      <w:sz w:val="16"/>
      <w:szCs w:val="16"/>
    </w:rPr>
  </w:style>
  <w:style w:type="paragraph" w:styleId="CommentText">
    <w:name w:val="annotation text"/>
    <w:basedOn w:val="Normal"/>
    <w:link w:val="CommentTextChar"/>
    <w:uiPriority w:val="99"/>
    <w:semiHidden/>
    <w:unhideWhenUsed/>
    <w:rsid w:val="00974DBF"/>
    <w:rPr>
      <w:sz w:val="20"/>
      <w:szCs w:val="20"/>
    </w:rPr>
  </w:style>
  <w:style w:type="character" w:customStyle="1" w:styleId="CommentTextChar">
    <w:name w:val="Comment Text Char"/>
    <w:link w:val="CommentText"/>
    <w:uiPriority w:val="99"/>
    <w:semiHidden/>
    <w:rsid w:val="00974DBF"/>
    <w:rPr>
      <w:lang w:eastAsia="en-US"/>
    </w:rPr>
  </w:style>
  <w:style w:type="paragraph" w:styleId="CommentSubject">
    <w:name w:val="annotation subject"/>
    <w:basedOn w:val="CommentText"/>
    <w:next w:val="CommentText"/>
    <w:link w:val="CommentSubjectChar"/>
    <w:uiPriority w:val="99"/>
    <w:semiHidden/>
    <w:unhideWhenUsed/>
    <w:rsid w:val="00974DBF"/>
    <w:rPr>
      <w:b/>
      <w:bCs/>
    </w:rPr>
  </w:style>
  <w:style w:type="character" w:customStyle="1" w:styleId="CommentSubjectChar">
    <w:name w:val="Comment Subject Char"/>
    <w:link w:val="CommentSubject"/>
    <w:uiPriority w:val="99"/>
    <w:semiHidden/>
    <w:rsid w:val="00974DBF"/>
    <w:rPr>
      <w:b/>
      <w:bCs/>
      <w:lang w:eastAsia="en-US"/>
    </w:rPr>
  </w:style>
  <w:style w:type="paragraph" w:styleId="NormalWeb">
    <w:name w:val="Normal (Web)"/>
    <w:basedOn w:val="Normal"/>
    <w:uiPriority w:val="99"/>
    <w:semiHidden/>
    <w:unhideWhenUsed/>
    <w:rsid w:val="00EF7B69"/>
    <w:pPr>
      <w:spacing w:before="100" w:beforeAutospacing="1" w:after="100" w:afterAutospacing="1" w:line="240" w:lineRule="auto"/>
    </w:pPr>
    <w:rPr>
      <w:rFonts w:ascii="Times New Roman" w:eastAsiaTheme="minorHAnsi" w:hAnsi="Times New Roman"/>
      <w:sz w:val="24"/>
      <w:szCs w:val="24"/>
      <w:lang w:val="en-US"/>
    </w:rPr>
  </w:style>
  <w:style w:type="character" w:styleId="Hyperlink">
    <w:name w:val="Hyperlink"/>
    <w:basedOn w:val="DefaultParagraphFont"/>
    <w:uiPriority w:val="99"/>
    <w:unhideWhenUsed/>
    <w:rsid w:val="00503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8938">
      <w:marLeft w:val="0"/>
      <w:marRight w:val="0"/>
      <w:marTop w:val="0"/>
      <w:marBottom w:val="0"/>
      <w:divBdr>
        <w:top w:val="none" w:sz="0" w:space="0" w:color="auto"/>
        <w:left w:val="none" w:sz="0" w:space="0" w:color="auto"/>
        <w:bottom w:val="none" w:sz="0" w:space="0" w:color="auto"/>
        <w:right w:val="none" w:sz="0" w:space="0" w:color="auto"/>
      </w:divBdr>
    </w:div>
    <w:div w:id="303589555">
      <w:bodyDiv w:val="1"/>
      <w:marLeft w:val="0"/>
      <w:marRight w:val="0"/>
      <w:marTop w:val="0"/>
      <w:marBottom w:val="0"/>
      <w:divBdr>
        <w:top w:val="none" w:sz="0" w:space="0" w:color="auto"/>
        <w:left w:val="none" w:sz="0" w:space="0" w:color="auto"/>
        <w:bottom w:val="none" w:sz="0" w:space="0" w:color="auto"/>
        <w:right w:val="none" w:sz="0" w:space="0" w:color="auto"/>
      </w:divBdr>
    </w:div>
    <w:div w:id="479007966">
      <w:bodyDiv w:val="1"/>
      <w:marLeft w:val="0"/>
      <w:marRight w:val="0"/>
      <w:marTop w:val="0"/>
      <w:marBottom w:val="0"/>
      <w:divBdr>
        <w:top w:val="none" w:sz="0" w:space="0" w:color="auto"/>
        <w:left w:val="none" w:sz="0" w:space="0" w:color="auto"/>
        <w:bottom w:val="none" w:sz="0" w:space="0" w:color="auto"/>
        <w:right w:val="none" w:sz="0" w:space="0" w:color="auto"/>
      </w:divBdr>
      <w:divsChild>
        <w:div w:id="423690693">
          <w:marLeft w:val="547"/>
          <w:marRight w:val="0"/>
          <w:marTop w:val="125"/>
          <w:marBottom w:val="0"/>
          <w:divBdr>
            <w:top w:val="none" w:sz="0" w:space="0" w:color="auto"/>
            <w:left w:val="none" w:sz="0" w:space="0" w:color="auto"/>
            <w:bottom w:val="none" w:sz="0" w:space="0" w:color="auto"/>
            <w:right w:val="none" w:sz="0" w:space="0" w:color="auto"/>
          </w:divBdr>
        </w:div>
        <w:div w:id="1386878509">
          <w:marLeft w:val="1166"/>
          <w:marRight w:val="0"/>
          <w:marTop w:val="115"/>
          <w:marBottom w:val="0"/>
          <w:divBdr>
            <w:top w:val="none" w:sz="0" w:space="0" w:color="auto"/>
            <w:left w:val="none" w:sz="0" w:space="0" w:color="auto"/>
            <w:bottom w:val="none" w:sz="0" w:space="0" w:color="auto"/>
            <w:right w:val="none" w:sz="0" w:space="0" w:color="auto"/>
          </w:divBdr>
        </w:div>
        <w:div w:id="218715196">
          <w:marLeft w:val="547"/>
          <w:marRight w:val="0"/>
          <w:marTop w:val="125"/>
          <w:marBottom w:val="0"/>
          <w:divBdr>
            <w:top w:val="none" w:sz="0" w:space="0" w:color="auto"/>
            <w:left w:val="none" w:sz="0" w:space="0" w:color="auto"/>
            <w:bottom w:val="none" w:sz="0" w:space="0" w:color="auto"/>
            <w:right w:val="none" w:sz="0" w:space="0" w:color="auto"/>
          </w:divBdr>
        </w:div>
        <w:div w:id="136532186">
          <w:marLeft w:val="1166"/>
          <w:marRight w:val="0"/>
          <w:marTop w:val="115"/>
          <w:marBottom w:val="0"/>
          <w:divBdr>
            <w:top w:val="none" w:sz="0" w:space="0" w:color="auto"/>
            <w:left w:val="none" w:sz="0" w:space="0" w:color="auto"/>
            <w:bottom w:val="none" w:sz="0" w:space="0" w:color="auto"/>
            <w:right w:val="none" w:sz="0" w:space="0" w:color="auto"/>
          </w:divBdr>
        </w:div>
        <w:div w:id="1973166081">
          <w:marLeft w:val="547"/>
          <w:marRight w:val="0"/>
          <w:marTop w:val="125"/>
          <w:marBottom w:val="0"/>
          <w:divBdr>
            <w:top w:val="none" w:sz="0" w:space="0" w:color="auto"/>
            <w:left w:val="none" w:sz="0" w:space="0" w:color="auto"/>
            <w:bottom w:val="none" w:sz="0" w:space="0" w:color="auto"/>
            <w:right w:val="none" w:sz="0" w:space="0" w:color="auto"/>
          </w:divBdr>
        </w:div>
        <w:div w:id="831681428">
          <w:marLeft w:val="547"/>
          <w:marRight w:val="0"/>
          <w:marTop w:val="125"/>
          <w:marBottom w:val="0"/>
          <w:divBdr>
            <w:top w:val="none" w:sz="0" w:space="0" w:color="auto"/>
            <w:left w:val="none" w:sz="0" w:space="0" w:color="auto"/>
            <w:bottom w:val="none" w:sz="0" w:space="0" w:color="auto"/>
            <w:right w:val="none" w:sz="0" w:space="0" w:color="auto"/>
          </w:divBdr>
        </w:div>
        <w:div w:id="1600021608">
          <w:marLeft w:val="1166"/>
          <w:marRight w:val="0"/>
          <w:marTop w:val="115"/>
          <w:marBottom w:val="0"/>
          <w:divBdr>
            <w:top w:val="none" w:sz="0" w:space="0" w:color="auto"/>
            <w:left w:val="none" w:sz="0" w:space="0" w:color="auto"/>
            <w:bottom w:val="none" w:sz="0" w:space="0" w:color="auto"/>
            <w:right w:val="none" w:sz="0" w:space="0" w:color="auto"/>
          </w:divBdr>
        </w:div>
      </w:divsChild>
    </w:div>
    <w:div w:id="1420058353">
      <w:bodyDiv w:val="1"/>
      <w:marLeft w:val="0"/>
      <w:marRight w:val="0"/>
      <w:marTop w:val="0"/>
      <w:marBottom w:val="0"/>
      <w:divBdr>
        <w:top w:val="none" w:sz="0" w:space="0" w:color="auto"/>
        <w:left w:val="none" w:sz="0" w:space="0" w:color="auto"/>
        <w:bottom w:val="none" w:sz="0" w:space="0" w:color="auto"/>
        <w:right w:val="none" w:sz="0" w:space="0" w:color="auto"/>
      </w:divBdr>
    </w:div>
    <w:div w:id="1477990546">
      <w:bodyDiv w:val="1"/>
      <w:marLeft w:val="0"/>
      <w:marRight w:val="0"/>
      <w:marTop w:val="0"/>
      <w:marBottom w:val="0"/>
      <w:divBdr>
        <w:top w:val="none" w:sz="0" w:space="0" w:color="auto"/>
        <w:left w:val="none" w:sz="0" w:space="0" w:color="auto"/>
        <w:bottom w:val="none" w:sz="0" w:space="0" w:color="auto"/>
        <w:right w:val="none" w:sz="0" w:space="0" w:color="auto"/>
      </w:divBdr>
    </w:div>
    <w:div w:id="1706566569">
      <w:bodyDiv w:val="1"/>
      <w:marLeft w:val="0"/>
      <w:marRight w:val="0"/>
      <w:marTop w:val="0"/>
      <w:marBottom w:val="0"/>
      <w:divBdr>
        <w:top w:val="none" w:sz="0" w:space="0" w:color="auto"/>
        <w:left w:val="none" w:sz="0" w:space="0" w:color="auto"/>
        <w:bottom w:val="none" w:sz="0" w:space="0" w:color="auto"/>
        <w:right w:val="none" w:sz="0" w:space="0" w:color="auto"/>
      </w:divBdr>
    </w:div>
    <w:div w:id="1774737655">
      <w:bodyDiv w:val="1"/>
      <w:marLeft w:val="0"/>
      <w:marRight w:val="0"/>
      <w:marTop w:val="0"/>
      <w:marBottom w:val="0"/>
      <w:divBdr>
        <w:top w:val="none" w:sz="0" w:space="0" w:color="auto"/>
        <w:left w:val="none" w:sz="0" w:space="0" w:color="auto"/>
        <w:bottom w:val="none" w:sz="0" w:space="0" w:color="auto"/>
        <w:right w:val="none" w:sz="0" w:space="0" w:color="auto"/>
      </w:divBdr>
    </w:div>
    <w:div w:id="19639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F1C6-8AC8-4F6D-9859-30ADFDB1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Leontari</dc:creator>
  <cp:lastModifiedBy>SFEE2</cp:lastModifiedBy>
  <cp:revision>2</cp:revision>
  <cp:lastPrinted>2018-05-14T07:05:00Z</cp:lastPrinted>
  <dcterms:created xsi:type="dcterms:W3CDTF">2020-05-13T06:07:00Z</dcterms:created>
  <dcterms:modified xsi:type="dcterms:W3CDTF">2020-05-13T06:07:00Z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